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78773" w14:textId="77777777" w:rsidR="00B2116A" w:rsidRDefault="00B2116A">
      <w:pPr>
        <w:widowControl/>
        <w:ind w:firstLineChars="354" w:firstLine="991"/>
        <w:jc w:val="left"/>
        <w:rPr>
          <w:rFonts w:ascii="Calibri" w:hAnsi="Calibri"/>
          <w:sz w:val="28"/>
          <w:szCs w:val="28"/>
        </w:rPr>
      </w:pPr>
    </w:p>
    <w:p w14:paraId="0B84208C" w14:textId="77777777" w:rsidR="00B2116A" w:rsidRDefault="00B2116A">
      <w:pPr>
        <w:widowControl/>
        <w:ind w:firstLineChars="354" w:firstLine="991"/>
        <w:jc w:val="left"/>
        <w:rPr>
          <w:rFonts w:ascii="Calibri" w:hAnsi="Calibri"/>
          <w:sz w:val="28"/>
          <w:szCs w:val="28"/>
        </w:rPr>
      </w:pPr>
    </w:p>
    <w:p w14:paraId="66E13F33" w14:textId="77777777" w:rsidR="00B2116A" w:rsidRDefault="00B2116A">
      <w:pPr>
        <w:widowControl/>
        <w:ind w:firstLineChars="354" w:firstLine="991"/>
        <w:jc w:val="left"/>
        <w:rPr>
          <w:rFonts w:ascii="Calibri" w:hAnsi="Calibri"/>
          <w:sz w:val="28"/>
          <w:szCs w:val="28"/>
        </w:rPr>
      </w:pPr>
    </w:p>
    <w:p w14:paraId="6A426509" w14:textId="77777777" w:rsidR="00B2116A" w:rsidRPr="005C153F" w:rsidRDefault="00B2116A">
      <w:pPr>
        <w:widowControl/>
        <w:ind w:firstLineChars="354" w:firstLine="1841"/>
        <w:jc w:val="left"/>
        <w:rPr>
          <w:rFonts w:ascii="Calibri" w:hAnsi="Calibri"/>
          <w:sz w:val="52"/>
          <w:szCs w:val="52"/>
        </w:rPr>
      </w:pPr>
    </w:p>
    <w:p w14:paraId="43C36E09" w14:textId="77777777" w:rsidR="005C153F" w:rsidRPr="005C153F" w:rsidRDefault="005C153F" w:rsidP="005C153F">
      <w:pPr>
        <w:widowControl/>
        <w:jc w:val="center"/>
        <w:rPr>
          <w:rFonts w:ascii="Calibri" w:eastAsia="宋体" w:hAnsi="Calibri" w:cs="Times New Roman"/>
          <w:b/>
          <w:bCs/>
          <w:sz w:val="52"/>
          <w:szCs w:val="52"/>
        </w:rPr>
      </w:pPr>
      <w:bookmarkStart w:id="0" w:name="_Hlk97207076"/>
      <w:r w:rsidRPr="005C153F">
        <w:rPr>
          <w:rFonts w:ascii="Calibri" w:eastAsia="宋体" w:hAnsi="Calibri" w:cs="Times New Roman" w:hint="eastAsia"/>
          <w:b/>
          <w:bCs/>
          <w:sz w:val="52"/>
          <w:szCs w:val="52"/>
        </w:rPr>
        <w:t>湖南省疾病预防控制中心</w:t>
      </w:r>
    </w:p>
    <w:p w14:paraId="102AFE7D" w14:textId="4F95E01C" w:rsidR="00B2116A" w:rsidRPr="005C153F" w:rsidRDefault="005C153F" w:rsidP="005C153F">
      <w:pPr>
        <w:widowControl/>
        <w:jc w:val="center"/>
        <w:rPr>
          <w:rFonts w:ascii="Calibri" w:eastAsia="宋体" w:hAnsi="Calibri" w:cs="Times New Roman"/>
          <w:b/>
          <w:bCs/>
          <w:sz w:val="52"/>
          <w:szCs w:val="52"/>
        </w:rPr>
      </w:pPr>
      <w:r w:rsidRPr="005C153F">
        <w:rPr>
          <w:rFonts w:ascii="Calibri" w:eastAsia="宋体" w:hAnsi="Calibri" w:cs="Times New Roman" w:hint="eastAsia"/>
          <w:b/>
          <w:bCs/>
          <w:sz w:val="52"/>
          <w:szCs w:val="52"/>
        </w:rPr>
        <w:t>伦理委员会</w:t>
      </w:r>
    </w:p>
    <w:bookmarkEnd w:id="0"/>
    <w:p w14:paraId="75196931" w14:textId="77777777" w:rsidR="005C153F" w:rsidRDefault="005C153F">
      <w:pPr>
        <w:autoSpaceDE w:val="0"/>
        <w:autoSpaceDN w:val="0"/>
        <w:adjustRightInd w:val="0"/>
        <w:ind w:firstLineChars="354" w:firstLine="991"/>
        <w:rPr>
          <w:rFonts w:ascii="Calibri" w:eastAsia="宋体" w:hAnsi="Calibri" w:cs="Times New Roman"/>
          <w:sz w:val="28"/>
          <w:szCs w:val="28"/>
        </w:rPr>
      </w:pPr>
    </w:p>
    <w:p w14:paraId="7D618A7E" w14:textId="77777777" w:rsidR="005C153F" w:rsidRDefault="005C153F">
      <w:pPr>
        <w:autoSpaceDE w:val="0"/>
        <w:autoSpaceDN w:val="0"/>
        <w:adjustRightInd w:val="0"/>
        <w:ind w:firstLineChars="354" w:firstLine="991"/>
        <w:rPr>
          <w:rFonts w:ascii="Calibri" w:eastAsia="宋体" w:hAnsi="Calibri" w:cs="Times New Roman"/>
          <w:sz w:val="28"/>
          <w:szCs w:val="28"/>
        </w:rPr>
      </w:pPr>
    </w:p>
    <w:p w14:paraId="5C71AA52" w14:textId="6AE56506" w:rsidR="00B2116A" w:rsidRDefault="00AC0AFE">
      <w:pPr>
        <w:autoSpaceDE w:val="0"/>
        <w:autoSpaceDN w:val="0"/>
        <w:adjustRightInd w:val="0"/>
        <w:ind w:firstLineChars="354" w:firstLine="991"/>
        <w:rPr>
          <w:rFonts w:ascii="Calibri" w:eastAsia="宋体" w:hAnsi="Calibri" w:cs="Times New Roman"/>
          <w:sz w:val="28"/>
          <w:szCs w:val="28"/>
        </w:rPr>
      </w:pPr>
      <w:r>
        <w:rPr>
          <w:rFonts w:ascii="Calibri" w:eastAsia="宋体" w:hAnsi="Calibri" w:cs="Times New Roman"/>
          <w:sz w:val="28"/>
          <w:szCs w:val="28"/>
        </w:rPr>
        <w:t>文件名称：</w:t>
      </w:r>
      <w:r>
        <w:rPr>
          <w:rFonts w:ascii="Calibri" w:hAnsi="Calibri" w:hint="eastAsia"/>
          <w:sz w:val="28"/>
          <w:szCs w:val="28"/>
        </w:rPr>
        <w:t>伦理委员会章程</w:t>
      </w:r>
    </w:p>
    <w:p w14:paraId="0F9FEC60" w14:textId="2CAF283B" w:rsidR="00B2116A" w:rsidRDefault="00AC0AFE">
      <w:pPr>
        <w:spacing w:line="360" w:lineRule="auto"/>
        <w:ind w:firstLineChars="354" w:firstLine="991"/>
        <w:rPr>
          <w:rFonts w:ascii="Calibri" w:eastAsia="宋体" w:hAnsi="Calibri" w:cs="Times New Roman"/>
          <w:sz w:val="28"/>
          <w:szCs w:val="28"/>
        </w:rPr>
      </w:pPr>
      <w:r>
        <w:rPr>
          <w:rFonts w:ascii="Calibri" w:eastAsia="宋体" w:hAnsi="Calibri" w:cs="Times New Roman"/>
          <w:sz w:val="28"/>
          <w:szCs w:val="28"/>
        </w:rPr>
        <w:t>文件编号：</w:t>
      </w:r>
      <w:r w:rsidR="005C153F" w:rsidRPr="00EE015A">
        <w:rPr>
          <w:rFonts w:ascii="宋体" w:eastAsia="宋体" w:hAnsi="宋体" w:cs="Times New Roman"/>
          <w:sz w:val="28"/>
          <w:szCs w:val="28"/>
        </w:rPr>
        <w:t>HNCDC-IRB-0101</w:t>
      </w:r>
    </w:p>
    <w:p w14:paraId="053BD786" w14:textId="77777777" w:rsidR="00B2116A" w:rsidRDefault="00AC0AFE">
      <w:pPr>
        <w:spacing w:line="360" w:lineRule="auto"/>
        <w:ind w:firstLineChars="354" w:firstLine="991"/>
        <w:rPr>
          <w:rFonts w:ascii="Calibri" w:eastAsia="宋体" w:hAnsi="Calibri" w:cs="Times New Roman"/>
          <w:sz w:val="28"/>
          <w:szCs w:val="28"/>
        </w:rPr>
      </w:pPr>
      <w:r>
        <w:rPr>
          <w:rFonts w:ascii="Calibri" w:eastAsia="宋体" w:hAnsi="Calibri" w:cs="Times New Roman"/>
          <w:sz w:val="28"/>
          <w:szCs w:val="28"/>
        </w:rPr>
        <w:t>正文总页数：</w:t>
      </w:r>
      <w:r>
        <w:rPr>
          <w:rFonts w:ascii="Calibri" w:eastAsia="宋体" w:hAnsi="Calibri" w:cs="Times New Roman"/>
          <w:sz w:val="28"/>
          <w:szCs w:val="28"/>
        </w:rPr>
        <w:t xml:space="preserve"> </w:t>
      </w:r>
      <w:r>
        <w:rPr>
          <w:rFonts w:ascii="Calibri" w:eastAsia="宋体" w:hAnsi="Calibri" w:cs="Times New Roman" w:hint="eastAsia"/>
          <w:sz w:val="28"/>
          <w:szCs w:val="28"/>
        </w:rPr>
        <w:t>3</w:t>
      </w:r>
    </w:p>
    <w:p w14:paraId="63C7EF71" w14:textId="77777777" w:rsidR="00B2116A" w:rsidRDefault="00AC0AFE">
      <w:pPr>
        <w:spacing w:line="360" w:lineRule="auto"/>
        <w:ind w:firstLineChars="354" w:firstLine="991"/>
        <w:rPr>
          <w:rFonts w:ascii="Calibri" w:eastAsia="宋体" w:hAnsi="Calibri" w:cs="Times New Roman"/>
          <w:sz w:val="28"/>
          <w:szCs w:val="28"/>
        </w:rPr>
      </w:pPr>
      <w:r>
        <w:rPr>
          <w:rFonts w:ascii="Calibri" w:eastAsia="宋体" w:hAnsi="Calibri" w:cs="Times New Roman" w:hint="eastAsia"/>
          <w:sz w:val="28"/>
          <w:szCs w:val="28"/>
        </w:rPr>
        <w:t>起草</w:t>
      </w:r>
      <w:r>
        <w:rPr>
          <w:rFonts w:ascii="Calibri" w:eastAsia="宋体" w:hAnsi="Calibri" w:cs="Times New Roman"/>
          <w:sz w:val="28"/>
          <w:szCs w:val="28"/>
        </w:rPr>
        <w:t>人及签字：</w:t>
      </w:r>
      <w:r>
        <w:rPr>
          <w:rFonts w:ascii="Calibri" w:eastAsia="宋体" w:hAnsi="Calibri" w:cs="Times New Roman"/>
          <w:sz w:val="28"/>
          <w:szCs w:val="28"/>
        </w:rPr>
        <w:t xml:space="preserve">                </w:t>
      </w:r>
      <w:r>
        <w:rPr>
          <w:rFonts w:ascii="Calibri" w:eastAsia="宋体" w:hAnsi="Calibri" w:cs="Times New Roman"/>
          <w:sz w:val="28"/>
          <w:szCs w:val="28"/>
        </w:rPr>
        <w:t>日期</w:t>
      </w:r>
      <w:r>
        <w:rPr>
          <w:rFonts w:ascii="Calibri" w:eastAsia="宋体" w:hAnsi="Calibri" w:cs="Times New Roman"/>
          <w:sz w:val="28"/>
          <w:szCs w:val="28"/>
        </w:rPr>
        <w:t>:</w:t>
      </w:r>
    </w:p>
    <w:p w14:paraId="0839B1FF" w14:textId="77777777" w:rsidR="00B2116A" w:rsidRDefault="00AC0AFE">
      <w:pPr>
        <w:tabs>
          <w:tab w:val="left" w:pos="5160"/>
        </w:tabs>
        <w:spacing w:line="360" w:lineRule="auto"/>
        <w:ind w:firstLineChars="354" w:firstLine="991"/>
        <w:rPr>
          <w:rFonts w:ascii="Calibri" w:eastAsia="宋体" w:hAnsi="Calibri" w:cs="Times New Roman"/>
          <w:sz w:val="28"/>
          <w:szCs w:val="28"/>
        </w:rPr>
      </w:pPr>
      <w:r>
        <w:rPr>
          <w:rFonts w:ascii="Calibri" w:eastAsia="宋体" w:hAnsi="Calibri" w:cs="Times New Roman"/>
          <w:sz w:val="28"/>
          <w:szCs w:val="28"/>
        </w:rPr>
        <w:t>审核人及签字：</w:t>
      </w:r>
      <w:r>
        <w:rPr>
          <w:rFonts w:ascii="Calibri" w:eastAsia="宋体" w:hAnsi="Calibri" w:cs="Times New Roman"/>
          <w:sz w:val="28"/>
          <w:szCs w:val="28"/>
        </w:rPr>
        <w:tab/>
      </w:r>
      <w:r>
        <w:rPr>
          <w:rFonts w:ascii="Calibri" w:eastAsia="宋体" w:hAnsi="Calibri" w:cs="Times New Roman"/>
          <w:sz w:val="28"/>
          <w:szCs w:val="28"/>
        </w:rPr>
        <w:t>日期</w:t>
      </w:r>
      <w:r>
        <w:rPr>
          <w:rFonts w:ascii="Calibri" w:eastAsia="宋体" w:hAnsi="Calibri" w:cs="Times New Roman"/>
          <w:sz w:val="28"/>
          <w:szCs w:val="28"/>
        </w:rPr>
        <w:t>:</w:t>
      </w:r>
    </w:p>
    <w:p w14:paraId="286E455A" w14:textId="77777777" w:rsidR="00B2116A" w:rsidRDefault="00AC0AFE">
      <w:pPr>
        <w:tabs>
          <w:tab w:val="left" w:pos="5160"/>
        </w:tabs>
        <w:spacing w:line="360" w:lineRule="auto"/>
        <w:ind w:firstLineChars="354" w:firstLine="991"/>
        <w:rPr>
          <w:rFonts w:ascii="Calibri" w:eastAsia="宋体" w:hAnsi="Calibri" w:cs="Times New Roman"/>
          <w:sz w:val="28"/>
          <w:szCs w:val="28"/>
        </w:rPr>
      </w:pPr>
      <w:r>
        <w:rPr>
          <w:rFonts w:ascii="Calibri" w:eastAsia="宋体" w:hAnsi="Calibri" w:cs="Times New Roman"/>
          <w:sz w:val="28"/>
          <w:szCs w:val="28"/>
        </w:rPr>
        <w:t>批准人及签字：</w:t>
      </w:r>
      <w:r>
        <w:rPr>
          <w:rFonts w:ascii="Calibri" w:eastAsia="宋体" w:hAnsi="Calibri" w:cs="Times New Roman"/>
          <w:sz w:val="28"/>
          <w:szCs w:val="28"/>
        </w:rPr>
        <w:tab/>
      </w:r>
      <w:r>
        <w:rPr>
          <w:rFonts w:ascii="Calibri" w:eastAsia="宋体" w:hAnsi="Calibri" w:cs="Times New Roman"/>
          <w:sz w:val="28"/>
          <w:szCs w:val="28"/>
        </w:rPr>
        <w:t>日期</w:t>
      </w:r>
      <w:r>
        <w:rPr>
          <w:rFonts w:ascii="Calibri" w:eastAsia="宋体" w:hAnsi="Calibri" w:cs="Times New Roman"/>
          <w:sz w:val="28"/>
          <w:szCs w:val="28"/>
        </w:rPr>
        <w:t>:</w:t>
      </w:r>
    </w:p>
    <w:p w14:paraId="29674CA3" w14:textId="77777777" w:rsidR="00B2116A" w:rsidRDefault="00AC0AFE">
      <w:pPr>
        <w:spacing w:line="360" w:lineRule="auto"/>
        <w:ind w:firstLineChars="354" w:firstLine="991"/>
        <w:rPr>
          <w:rFonts w:ascii="Calibri" w:eastAsia="宋体" w:hAnsi="Calibri" w:cs="Times New Roman"/>
          <w:sz w:val="28"/>
          <w:szCs w:val="28"/>
        </w:rPr>
      </w:pPr>
      <w:r>
        <w:rPr>
          <w:rFonts w:ascii="Calibri" w:eastAsia="宋体" w:hAnsi="Calibri" w:cs="Times New Roman"/>
          <w:sz w:val="28"/>
          <w:szCs w:val="28"/>
        </w:rPr>
        <w:t>生效日期：</w:t>
      </w:r>
    </w:p>
    <w:p w14:paraId="7AF3D2DE" w14:textId="77777777" w:rsidR="00B2116A" w:rsidRDefault="00AC0AFE">
      <w:pPr>
        <w:widowControl/>
        <w:spacing w:line="276" w:lineRule="auto"/>
        <w:jc w:val="center"/>
        <w:rPr>
          <w:rFonts w:ascii="Calibri" w:eastAsia="宋体" w:hAnsi="Calibri" w:cs="Times New Roman"/>
          <w:sz w:val="28"/>
          <w:szCs w:val="28"/>
        </w:rPr>
      </w:pPr>
      <w:r>
        <w:rPr>
          <w:rFonts w:ascii="Calibri" w:eastAsia="宋体" w:hAnsi="Calibri" w:cs="Times New Roman"/>
          <w:sz w:val="28"/>
          <w:szCs w:val="28"/>
        </w:rPr>
        <w:br w:type="page"/>
      </w:r>
    </w:p>
    <w:p w14:paraId="76ED7DB0" w14:textId="1A51E63B" w:rsidR="00B2116A" w:rsidRDefault="00F030E9">
      <w:pPr>
        <w:widowControl/>
        <w:spacing w:line="276" w:lineRule="auto"/>
        <w:jc w:val="center"/>
        <w:rPr>
          <w:rFonts w:ascii="宋体" w:eastAsia="宋体" w:hAnsi="宋体" w:cs="Times New Roman"/>
          <w:b/>
          <w:szCs w:val="21"/>
        </w:rPr>
      </w:pPr>
      <w:r>
        <w:rPr>
          <w:rFonts w:ascii="宋体" w:hAnsi="宋体" w:hint="eastAsia"/>
          <w:b/>
          <w:szCs w:val="21"/>
        </w:rPr>
        <w:lastRenderedPageBreak/>
        <w:t xml:space="preserve"> </w:t>
      </w:r>
      <w:r w:rsidR="00AC0AFE">
        <w:rPr>
          <w:rFonts w:ascii="宋体" w:hAnsi="宋体" w:hint="eastAsia"/>
          <w:b/>
          <w:szCs w:val="21"/>
        </w:rPr>
        <w:t>伦理委员会章程</w:t>
      </w:r>
      <w:r w:rsidR="00AC0AFE">
        <w:rPr>
          <w:rFonts w:ascii="宋体" w:eastAsia="宋体" w:hAnsi="宋体" w:cs="Times New Roman" w:hint="eastAsia"/>
          <w:b/>
          <w:szCs w:val="21"/>
        </w:rPr>
        <w:t>修订、审查记录页内容</w:t>
      </w:r>
    </w:p>
    <w:p w14:paraId="0FFBD0A3" w14:textId="77777777" w:rsidR="00B2116A" w:rsidRDefault="00AC0AFE">
      <w:pPr>
        <w:spacing w:line="276" w:lineRule="auto"/>
        <w:jc w:val="center"/>
        <w:rPr>
          <w:rFonts w:ascii="宋体" w:eastAsia="宋体" w:hAnsi="宋体" w:cs="Times New Roman"/>
          <w:b/>
          <w:szCs w:val="21"/>
        </w:rPr>
      </w:pPr>
      <w:r>
        <w:rPr>
          <w:rFonts w:ascii="宋体" w:eastAsia="宋体" w:hAnsi="宋体" w:cs="Times New Roman" w:hint="eastAsia"/>
          <w:b/>
          <w:szCs w:val="21"/>
        </w:rPr>
        <w:t>修订记录</w:t>
      </w:r>
    </w:p>
    <w:p w14:paraId="4A7FAEE4" w14:textId="56F841A6" w:rsidR="00B2116A" w:rsidRDefault="00AC0AFE">
      <w:pPr>
        <w:autoSpaceDE w:val="0"/>
        <w:autoSpaceDN w:val="0"/>
        <w:adjustRightInd w:val="0"/>
        <w:rPr>
          <w:rFonts w:ascii="宋体" w:eastAsia="宋体" w:hAnsi="宋体" w:cs="Times New Roman"/>
          <w:szCs w:val="21"/>
        </w:rPr>
      </w:pPr>
      <w:r>
        <w:rPr>
          <w:rFonts w:ascii="宋体" w:eastAsia="宋体" w:hAnsi="宋体" w:cs="Times New Roman" w:hint="eastAsia"/>
          <w:szCs w:val="21"/>
        </w:rPr>
        <w:t>文件名称：</w:t>
      </w:r>
      <w:r>
        <w:rPr>
          <w:rFonts w:ascii="宋体" w:hAnsi="宋体" w:hint="eastAsia"/>
          <w:szCs w:val="21"/>
        </w:rPr>
        <w:t>伦理委员会章程</w:t>
      </w:r>
    </w:p>
    <w:p w14:paraId="1F654B14" w14:textId="29AAFA4A" w:rsidR="00B2116A" w:rsidRDefault="00AC0AFE">
      <w:pPr>
        <w:spacing w:line="276" w:lineRule="auto"/>
        <w:rPr>
          <w:rFonts w:ascii="宋体" w:hAnsi="宋体" w:cs="Times New Roman"/>
          <w:szCs w:val="21"/>
        </w:rPr>
      </w:pPr>
      <w:r>
        <w:rPr>
          <w:rFonts w:ascii="宋体" w:eastAsia="宋体" w:hAnsi="宋体" w:cs="Times New Roman" w:hint="eastAsia"/>
          <w:szCs w:val="21"/>
        </w:rPr>
        <w:t>文件编号：</w:t>
      </w:r>
      <w:r w:rsidR="005C153F">
        <w:rPr>
          <w:lang w:val="de-DE"/>
        </w:rPr>
        <w:t>HNCDC-IRB-0101</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46"/>
        <w:gridCol w:w="2670"/>
        <w:gridCol w:w="1589"/>
        <w:gridCol w:w="1421"/>
        <w:gridCol w:w="1421"/>
      </w:tblGrid>
      <w:tr w:rsidR="00B2116A" w14:paraId="6F4DD051" w14:textId="77777777">
        <w:trPr>
          <w:trHeight w:val="642"/>
        </w:trPr>
        <w:tc>
          <w:tcPr>
            <w:tcW w:w="817" w:type="dxa"/>
            <w:vAlign w:val="center"/>
          </w:tcPr>
          <w:p w14:paraId="0BFE0779"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修订号</w:t>
            </w:r>
          </w:p>
        </w:tc>
        <w:tc>
          <w:tcPr>
            <w:tcW w:w="746" w:type="dxa"/>
            <w:vAlign w:val="center"/>
          </w:tcPr>
          <w:p w14:paraId="2B717231"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修订</w:t>
            </w:r>
          </w:p>
          <w:p w14:paraId="3A369559"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页码</w:t>
            </w:r>
          </w:p>
        </w:tc>
        <w:tc>
          <w:tcPr>
            <w:tcW w:w="2670" w:type="dxa"/>
            <w:vAlign w:val="center"/>
          </w:tcPr>
          <w:p w14:paraId="5B0C3F1D"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修订内容</w:t>
            </w:r>
          </w:p>
        </w:tc>
        <w:tc>
          <w:tcPr>
            <w:tcW w:w="1589" w:type="dxa"/>
            <w:vAlign w:val="center"/>
          </w:tcPr>
          <w:p w14:paraId="7FDE15D2"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修订目的、原因及依据</w:t>
            </w:r>
          </w:p>
        </w:tc>
        <w:tc>
          <w:tcPr>
            <w:tcW w:w="1421" w:type="dxa"/>
            <w:vAlign w:val="center"/>
          </w:tcPr>
          <w:p w14:paraId="05F814C6"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修订人签字</w:t>
            </w:r>
          </w:p>
          <w:p w14:paraId="1941B098"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/修订日期</w:t>
            </w:r>
          </w:p>
        </w:tc>
        <w:tc>
          <w:tcPr>
            <w:tcW w:w="1421" w:type="dxa"/>
            <w:vAlign w:val="center"/>
          </w:tcPr>
          <w:p w14:paraId="082087B2"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批准人签字</w:t>
            </w:r>
          </w:p>
          <w:p w14:paraId="63026E49"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/批准日期</w:t>
            </w:r>
          </w:p>
        </w:tc>
      </w:tr>
      <w:tr w:rsidR="00B2116A" w14:paraId="201E7C7C" w14:textId="77777777">
        <w:trPr>
          <w:trHeight w:val="537"/>
        </w:trPr>
        <w:tc>
          <w:tcPr>
            <w:tcW w:w="817" w:type="dxa"/>
          </w:tcPr>
          <w:p w14:paraId="173D9F8D" w14:textId="77777777" w:rsidR="00B2116A" w:rsidRDefault="00B2116A">
            <w:pPr>
              <w:spacing w:line="276" w:lineRule="auto"/>
              <w:rPr>
                <w:rFonts w:ascii="宋体" w:eastAsia="宋体" w:hAnsi="宋体" w:cs="Times New Roman"/>
                <w:szCs w:val="21"/>
              </w:rPr>
            </w:pPr>
          </w:p>
        </w:tc>
        <w:tc>
          <w:tcPr>
            <w:tcW w:w="746" w:type="dxa"/>
          </w:tcPr>
          <w:p w14:paraId="321E9BE5" w14:textId="2BB948C2" w:rsidR="00B2116A" w:rsidRDefault="00B2116A">
            <w:pPr>
              <w:spacing w:line="276" w:lineRule="auto"/>
              <w:rPr>
                <w:rFonts w:ascii="Times New Roman" w:eastAsia="宋体" w:hAnsi="Times New Roman" w:cs="Times New Roman"/>
                <w:szCs w:val="21"/>
              </w:rPr>
            </w:pPr>
          </w:p>
        </w:tc>
        <w:tc>
          <w:tcPr>
            <w:tcW w:w="2670" w:type="dxa"/>
          </w:tcPr>
          <w:p w14:paraId="5B4F7875" w14:textId="55A4BB7B" w:rsidR="00B2116A" w:rsidRDefault="00B2116A">
            <w:pPr>
              <w:spacing w:line="276" w:lineRule="auto"/>
              <w:rPr>
                <w:rFonts w:ascii="Times New Roman" w:eastAsia="宋体" w:hAnsi="Times New Roman" w:cs="Times New Roman"/>
                <w:sz w:val="18"/>
                <w:szCs w:val="18"/>
              </w:rPr>
            </w:pPr>
          </w:p>
        </w:tc>
        <w:tc>
          <w:tcPr>
            <w:tcW w:w="1589" w:type="dxa"/>
          </w:tcPr>
          <w:p w14:paraId="12CCF94C" w14:textId="3ED3926A" w:rsidR="00B2116A" w:rsidRDefault="00B2116A">
            <w:pPr>
              <w:spacing w:line="276" w:lineRule="auto"/>
              <w:rPr>
                <w:rFonts w:ascii="Times New Roman" w:eastAsia="宋体" w:hAnsi="Times New Roman" w:cs="Times New Roman"/>
                <w:sz w:val="18"/>
                <w:szCs w:val="18"/>
              </w:rPr>
            </w:pPr>
          </w:p>
        </w:tc>
        <w:tc>
          <w:tcPr>
            <w:tcW w:w="1421" w:type="dxa"/>
          </w:tcPr>
          <w:p w14:paraId="5C849573" w14:textId="77777777" w:rsidR="00B2116A" w:rsidRDefault="00B2116A">
            <w:pPr>
              <w:spacing w:line="276" w:lineRule="auto"/>
              <w:rPr>
                <w:rFonts w:ascii="宋体" w:eastAsia="宋体" w:hAnsi="宋体" w:cs="Times New Roman"/>
                <w:szCs w:val="21"/>
              </w:rPr>
            </w:pPr>
          </w:p>
        </w:tc>
        <w:tc>
          <w:tcPr>
            <w:tcW w:w="1421" w:type="dxa"/>
          </w:tcPr>
          <w:p w14:paraId="6566497F" w14:textId="77777777" w:rsidR="00B2116A" w:rsidRDefault="00B2116A">
            <w:pPr>
              <w:spacing w:line="276" w:lineRule="auto"/>
              <w:rPr>
                <w:rFonts w:ascii="宋体" w:eastAsia="宋体" w:hAnsi="宋体" w:cs="Times New Roman"/>
                <w:szCs w:val="21"/>
              </w:rPr>
            </w:pPr>
          </w:p>
        </w:tc>
      </w:tr>
      <w:tr w:rsidR="00B2116A" w14:paraId="0F3B1B25" w14:textId="77777777">
        <w:trPr>
          <w:trHeight w:val="1224"/>
        </w:trPr>
        <w:tc>
          <w:tcPr>
            <w:tcW w:w="817" w:type="dxa"/>
          </w:tcPr>
          <w:p w14:paraId="4C9A5160" w14:textId="77777777" w:rsidR="00B2116A" w:rsidRDefault="00B2116A">
            <w:pPr>
              <w:spacing w:line="276" w:lineRule="auto"/>
              <w:rPr>
                <w:rFonts w:ascii="宋体" w:eastAsia="宋体" w:hAnsi="宋体" w:cs="Times New Roman"/>
                <w:szCs w:val="21"/>
              </w:rPr>
            </w:pPr>
          </w:p>
        </w:tc>
        <w:tc>
          <w:tcPr>
            <w:tcW w:w="746" w:type="dxa"/>
          </w:tcPr>
          <w:p w14:paraId="5730AFC8" w14:textId="662E0FED" w:rsidR="00B2116A" w:rsidRDefault="00B2116A">
            <w:pPr>
              <w:spacing w:line="276" w:lineRule="auto"/>
              <w:rPr>
                <w:rFonts w:ascii="Times New Roman" w:eastAsia="宋体" w:hAnsi="Times New Roman" w:cs="Times New Roman"/>
                <w:szCs w:val="21"/>
              </w:rPr>
            </w:pPr>
          </w:p>
        </w:tc>
        <w:tc>
          <w:tcPr>
            <w:tcW w:w="2670" w:type="dxa"/>
          </w:tcPr>
          <w:p w14:paraId="01D478AE" w14:textId="067C35F1" w:rsidR="00B2116A" w:rsidRDefault="00B2116A">
            <w:pPr>
              <w:autoSpaceDE w:val="0"/>
              <w:autoSpaceDN w:val="0"/>
              <w:adjustRightInd w:val="0"/>
              <w:jc w:val="left"/>
              <w:rPr>
                <w:rFonts w:ascii="Times New Roman" w:eastAsia="宋体" w:hAnsi="Times New Roman" w:cs="Times New Roman"/>
                <w:sz w:val="18"/>
                <w:szCs w:val="18"/>
              </w:rPr>
            </w:pPr>
          </w:p>
        </w:tc>
        <w:tc>
          <w:tcPr>
            <w:tcW w:w="1589" w:type="dxa"/>
          </w:tcPr>
          <w:p w14:paraId="4F2669B3" w14:textId="7E29039A" w:rsidR="00B2116A" w:rsidRDefault="00B2116A">
            <w:pPr>
              <w:spacing w:line="276" w:lineRule="auto"/>
              <w:rPr>
                <w:rFonts w:ascii="Times New Roman" w:eastAsia="宋体" w:hAnsi="Times New Roman" w:cs="Times New Roman"/>
                <w:sz w:val="18"/>
                <w:szCs w:val="18"/>
              </w:rPr>
            </w:pPr>
          </w:p>
        </w:tc>
        <w:tc>
          <w:tcPr>
            <w:tcW w:w="1421" w:type="dxa"/>
          </w:tcPr>
          <w:p w14:paraId="0FB1E49B" w14:textId="77777777" w:rsidR="00B2116A" w:rsidRDefault="00B2116A">
            <w:pPr>
              <w:spacing w:line="276" w:lineRule="auto"/>
              <w:rPr>
                <w:rFonts w:ascii="宋体" w:eastAsia="宋体" w:hAnsi="宋体" w:cs="Times New Roman"/>
                <w:szCs w:val="21"/>
              </w:rPr>
            </w:pPr>
          </w:p>
        </w:tc>
        <w:tc>
          <w:tcPr>
            <w:tcW w:w="1421" w:type="dxa"/>
          </w:tcPr>
          <w:p w14:paraId="369BB9FE" w14:textId="77777777" w:rsidR="00B2116A" w:rsidRDefault="00B2116A">
            <w:pPr>
              <w:spacing w:line="276" w:lineRule="auto"/>
              <w:rPr>
                <w:rFonts w:ascii="宋体" w:eastAsia="宋体" w:hAnsi="宋体" w:cs="Times New Roman"/>
                <w:szCs w:val="21"/>
              </w:rPr>
            </w:pPr>
          </w:p>
        </w:tc>
      </w:tr>
      <w:tr w:rsidR="00B2116A" w14:paraId="2D533A74" w14:textId="77777777">
        <w:trPr>
          <w:trHeight w:val="537"/>
        </w:trPr>
        <w:tc>
          <w:tcPr>
            <w:tcW w:w="817" w:type="dxa"/>
          </w:tcPr>
          <w:p w14:paraId="698D140F" w14:textId="77777777" w:rsidR="00B2116A" w:rsidRDefault="00B2116A">
            <w:pPr>
              <w:spacing w:line="276" w:lineRule="auto"/>
              <w:rPr>
                <w:rFonts w:ascii="宋体" w:eastAsia="宋体" w:hAnsi="宋体" w:cs="Times New Roman"/>
                <w:szCs w:val="21"/>
              </w:rPr>
            </w:pPr>
          </w:p>
        </w:tc>
        <w:tc>
          <w:tcPr>
            <w:tcW w:w="746" w:type="dxa"/>
          </w:tcPr>
          <w:p w14:paraId="64477770" w14:textId="19D54A6F" w:rsidR="00B2116A" w:rsidRDefault="00B2116A">
            <w:pPr>
              <w:spacing w:line="276" w:lineRule="auto"/>
              <w:rPr>
                <w:rFonts w:ascii="Times New Roman" w:eastAsia="宋体" w:hAnsi="Times New Roman" w:cs="Times New Roman"/>
                <w:szCs w:val="21"/>
              </w:rPr>
            </w:pPr>
          </w:p>
        </w:tc>
        <w:tc>
          <w:tcPr>
            <w:tcW w:w="2670" w:type="dxa"/>
          </w:tcPr>
          <w:p w14:paraId="23F0C9D2" w14:textId="77777777" w:rsidR="00B2116A" w:rsidRDefault="00B2116A">
            <w:pPr>
              <w:spacing w:line="276" w:lineRule="auto"/>
              <w:rPr>
                <w:rFonts w:ascii="Times New Roman" w:eastAsia="宋体" w:hAnsi="Times New Roman" w:cs="Times New Roman"/>
                <w:sz w:val="18"/>
                <w:szCs w:val="18"/>
              </w:rPr>
            </w:pPr>
          </w:p>
        </w:tc>
        <w:tc>
          <w:tcPr>
            <w:tcW w:w="1589" w:type="dxa"/>
          </w:tcPr>
          <w:p w14:paraId="677B34CF" w14:textId="1025EBD7" w:rsidR="00B2116A" w:rsidRDefault="00B2116A">
            <w:pPr>
              <w:spacing w:line="276" w:lineRule="auto"/>
              <w:rPr>
                <w:rFonts w:ascii="Times New Roman" w:eastAsia="宋体" w:hAnsi="Times New Roman" w:cs="Times New Roman"/>
                <w:sz w:val="18"/>
                <w:szCs w:val="18"/>
              </w:rPr>
            </w:pPr>
          </w:p>
        </w:tc>
        <w:tc>
          <w:tcPr>
            <w:tcW w:w="1421" w:type="dxa"/>
          </w:tcPr>
          <w:p w14:paraId="7CA5D9E3" w14:textId="77777777" w:rsidR="00B2116A" w:rsidRDefault="00B2116A">
            <w:pPr>
              <w:spacing w:line="276" w:lineRule="auto"/>
              <w:rPr>
                <w:rFonts w:ascii="宋体" w:eastAsia="宋体" w:hAnsi="宋体" w:cs="Times New Roman"/>
                <w:szCs w:val="21"/>
              </w:rPr>
            </w:pPr>
          </w:p>
        </w:tc>
        <w:tc>
          <w:tcPr>
            <w:tcW w:w="1421" w:type="dxa"/>
          </w:tcPr>
          <w:p w14:paraId="01A4E0DD" w14:textId="77777777" w:rsidR="00B2116A" w:rsidRDefault="00B2116A">
            <w:pPr>
              <w:spacing w:line="276" w:lineRule="auto"/>
              <w:rPr>
                <w:rFonts w:ascii="宋体" w:eastAsia="宋体" w:hAnsi="宋体" w:cs="Times New Roman"/>
                <w:szCs w:val="21"/>
              </w:rPr>
            </w:pPr>
          </w:p>
        </w:tc>
      </w:tr>
      <w:tr w:rsidR="00B2116A" w14:paraId="50FB2BD3" w14:textId="77777777">
        <w:trPr>
          <w:trHeight w:val="537"/>
        </w:trPr>
        <w:tc>
          <w:tcPr>
            <w:tcW w:w="817" w:type="dxa"/>
          </w:tcPr>
          <w:p w14:paraId="6CF64882" w14:textId="77777777" w:rsidR="00B2116A" w:rsidRDefault="00B2116A">
            <w:pPr>
              <w:spacing w:line="276" w:lineRule="auto"/>
              <w:rPr>
                <w:rFonts w:ascii="宋体" w:eastAsia="宋体" w:hAnsi="宋体" w:cs="Times New Roman"/>
                <w:szCs w:val="21"/>
              </w:rPr>
            </w:pPr>
          </w:p>
        </w:tc>
        <w:tc>
          <w:tcPr>
            <w:tcW w:w="746" w:type="dxa"/>
          </w:tcPr>
          <w:p w14:paraId="3F489CCC" w14:textId="67D2781A" w:rsidR="00B2116A" w:rsidRDefault="00B2116A">
            <w:pPr>
              <w:spacing w:line="276" w:lineRule="auto"/>
              <w:rPr>
                <w:rFonts w:ascii="Times New Roman" w:eastAsia="宋体" w:hAnsi="Times New Roman" w:cs="Times New Roman"/>
                <w:szCs w:val="21"/>
              </w:rPr>
            </w:pPr>
          </w:p>
        </w:tc>
        <w:tc>
          <w:tcPr>
            <w:tcW w:w="2670" w:type="dxa"/>
          </w:tcPr>
          <w:p w14:paraId="5FB42030" w14:textId="47FA4915" w:rsidR="00B2116A" w:rsidRDefault="00B2116A">
            <w:pPr>
              <w:spacing w:line="276" w:lineRule="auto"/>
              <w:rPr>
                <w:rFonts w:ascii="Times New Roman" w:eastAsia="宋体" w:hAnsi="Times New Roman" w:cs="Times New Roman"/>
                <w:sz w:val="18"/>
                <w:szCs w:val="18"/>
              </w:rPr>
            </w:pPr>
          </w:p>
        </w:tc>
        <w:tc>
          <w:tcPr>
            <w:tcW w:w="1589" w:type="dxa"/>
          </w:tcPr>
          <w:p w14:paraId="1C43C8BA" w14:textId="26954810" w:rsidR="00B2116A" w:rsidRDefault="00B2116A">
            <w:pPr>
              <w:spacing w:line="276" w:lineRule="auto"/>
              <w:rPr>
                <w:rFonts w:ascii="Times New Roman" w:eastAsia="宋体" w:hAnsi="Times New Roman" w:cs="Times New Roman"/>
                <w:sz w:val="18"/>
                <w:szCs w:val="18"/>
              </w:rPr>
            </w:pPr>
          </w:p>
        </w:tc>
        <w:tc>
          <w:tcPr>
            <w:tcW w:w="1421" w:type="dxa"/>
          </w:tcPr>
          <w:p w14:paraId="6F7841A3" w14:textId="77777777" w:rsidR="00B2116A" w:rsidRDefault="00B2116A">
            <w:pPr>
              <w:spacing w:line="276" w:lineRule="auto"/>
              <w:rPr>
                <w:rFonts w:ascii="宋体" w:eastAsia="宋体" w:hAnsi="宋体" w:cs="Times New Roman"/>
                <w:szCs w:val="21"/>
              </w:rPr>
            </w:pPr>
          </w:p>
        </w:tc>
        <w:tc>
          <w:tcPr>
            <w:tcW w:w="1421" w:type="dxa"/>
          </w:tcPr>
          <w:p w14:paraId="737B01A6" w14:textId="77777777" w:rsidR="00B2116A" w:rsidRDefault="00B2116A">
            <w:pPr>
              <w:spacing w:line="276" w:lineRule="auto"/>
              <w:rPr>
                <w:rFonts w:ascii="宋体" w:eastAsia="宋体" w:hAnsi="宋体" w:cs="Times New Roman"/>
                <w:szCs w:val="21"/>
              </w:rPr>
            </w:pPr>
          </w:p>
        </w:tc>
      </w:tr>
      <w:tr w:rsidR="00B2116A" w14:paraId="4D95B78F" w14:textId="77777777">
        <w:trPr>
          <w:trHeight w:val="537"/>
        </w:trPr>
        <w:tc>
          <w:tcPr>
            <w:tcW w:w="817" w:type="dxa"/>
          </w:tcPr>
          <w:p w14:paraId="4ECD147E" w14:textId="77777777" w:rsidR="00B2116A" w:rsidRDefault="00B2116A">
            <w:pPr>
              <w:spacing w:line="276" w:lineRule="auto"/>
              <w:rPr>
                <w:rFonts w:ascii="宋体" w:eastAsia="宋体" w:hAnsi="宋体" w:cs="Times New Roman"/>
                <w:szCs w:val="21"/>
              </w:rPr>
            </w:pPr>
          </w:p>
        </w:tc>
        <w:tc>
          <w:tcPr>
            <w:tcW w:w="746" w:type="dxa"/>
          </w:tcPr>
          <w:p w14:paraId="2C98139F" w14:textId="037FE07E" w:rsidR="00B2116A" w:rsidRDefault="00B2116A">
            <w:pPr>
              <w:spacing w:line="276" w:lineRule="auto"/>
              <w:rPr>
                <w:rFonts w:ascii="Times New Roman" w:eastAsia="宋体" w:hAnsi="Times New Roman" w:cs="Times New Roman"/>
                <w:szCs w:val="21"/>
              </w:rPr>
            </w:pPr>
          </w:p>
        </w:tc>
        <w:tc>
          <w:tcPr>
            <w:tcW w:w="2670" w:type="dxa"/>
          </w:tcPr>
          <w:p w14:paraId="5B7698F3" w14:textId="6010E722" w:rsidR="00B2116A" w:rsidRDefault="00B2116A">
            <w:pPr>
              <w:spacing w:line="276" w:lineRule="auto"/>
              <w:rPr>
                <w:rFonts w:ascii="Times New Roman" w:hAnsi="Times New Roman" w:cs="Times New Roman"/>
                <w:sz w:val="18"/>
                <w:szCs w:val="18"/>
              </w:rPr>
            </w:pPr>
          </w:p>
        </w:tc>
        <w:tc>
          <w:tcPr>
            <w:tcW w:w="1589" w:type="dxa"/>
          </w:tcPr>
          <w:p w14:paraId="6FD687CD" w14:textId="1056769C" w:rsidR="00B2116A" w:rsidRDefault="00B2116A">
            <w:pPr>
              <w:spacing w:line="276" w:lineRule="auto"/>
              <w:rPr>
                <w:rFonts w:ascii="Times New Roman" w:eastAsia="宋体" w:hAnsi="Times New Roman" w:cs="Times New Roman"/>
                <w:sz w:val="18"/>
                <w:szCs w:val="18"/>
              </w:rPr>
            </w:pPr>
          </w:p>
        </w:tc>
        <w:tc>
          <w:tcPr>
            <w:tcW w:w="1421" w:type="dxa"/>
          </w:tcPr>
          <w:p w14:paraId="1424C866" w14:textId="77777777" w:rsidR="00B2116A" w:rsidRDefault="00B2116A">
            <w:pPr>
              <w:spacing w:line="276" w:lineRule="auto"/>
              <w:rPr>
                <w:rFonts w:ascii="宋体" w:eastAsia="宋体" w:hAnsi="宋体" w:cs="Times New Roman"/>
                <w:szCs w:val="21"/>
              </w:rPr>
            </w:pPr>
          </w:p>
        </w:tc>
        <w:tc>
          <w:tcPr>
            <w:tcW w:w="1421" w:type="dxa"/>
          </w:tcPr>
          <w:p w14:paraId="6228AD85" w14:textId="77777777" w:rsidR="00B2116A" w:rsidRDefault="00B2116A">
            <w:pPr>
              <w:spacing w:line="276" w:lineRule="auto"/>
              <w:rPr>
                <w:rFonts w:ascii="宋体" w:eastAsia="宋体" w:hAnsi="宋体" w:cs="Times New Roman"/>
                <w:szCs w:val="21"/>
              </w:rPr>
            </w:pPr>
          </w:p>
        </w:tc>
      </w:tr>
      <w:tr w:rsidR="00B2116A" w14:paraId="0B40B5B3" w14:textId="77777777">
        <w:trPr>
          <w:trHeight w:val="537"/>
        </w:trPr>
        <w:tc>
          <w:tcPr>
            <w:tcW w:w="817" w:type="dxa"/>
          </w:tcPr>
          <w:p w14:paraId="03AFC68A" w14:textId="77777777" w:rsidR="00B2116A" w:rsidRDefault="00B2116A">
            <w:pPr>
              <w:spacing w:line="276" w:lineRule="auto"/>
              <w:rPr>
                <w:rFonts w:ascii="宋体" w:eastAsia="宋体" w:hAnsi="宋体" w:cs="Times New Roman"/>
                <w:szCs w:val="21"/>
              </w:rPr>
            </w:pPr>
          </w:p>
        </w:tc>
        <w:tc>
          <w:tcPr>
            <w:tcW w:w="746" w:type="dxa"/>
          </w:tcPr>
          <w:p w14:paraId="09604A98" w14:textId="77777777" w:rsidR="00B2116A" w:rsidRDefault="00B2116A">
            <w:pPr>
              <w:spacing w:line="276" w:lineRule="auto"/>
              <w:rPr>
                <w:rFonts w:ascii="宋体" w:eastAsia="宋体" w:hAnsi="宋体" w:cs="Times New Roman"/>
                <w:szCs w:val="21"/>
              </w:rPr>
            </w:pPr>
          </w:p>
        </w:tc>
        <w:tc>
          <w:tcPr>
            <w:tcW w:w="2670" w:type="dxa"/>
          </w:tcPr>
          <w:p w14:paraId="4E1A4E02" w14:textId="77777777" w:rsidR="00B2116A" w:rsidRDefault="00B2116A">
            <w:pPr>
              <w:spacing w:line="276" w:lineRule="auto"/>
              <w:rPr>
                <w:rFonts w:ascii="宋体" w:eastAsia="宋体" w:hAnsi="宋体" w:cs="Times New Roman"/>
                <w:szCs w:val="21"/>
              </w:rPr>
            </w:pPr>
          </w:p>
        </w:tc>
        <w:tc>
          <w:tcPr>
            <w:tcW w:w="1589" w:type="dxa"/>
          </w:tcPr>
          <w:p w14:paraId="622F83AF" w14:textId="77777777" w:rsidR="00B2116A" w:rsidRDefault="00B2116A">
            <w:pPr>
              <w:spacing w:line="276" w:lineRule="auto"/>
              <w:rPr>
                <w:rFonts w:ascii="宋体" w:eastAsia="宋体" w:hAnsi="宋体" w:cs="Times New Roman"/>
                <w:szCs w:val="21"/>
              </w:rPr>
            </w:pPr>
          </w:p>
        </w:tc>
        <w:tc>
          <w:tcPr>
            <w:tcW w:w="1421" w:type="dxa"/>
          </w:tcPr>
          <w:p w14:paraId="53DBAC10" w14:textId="77777777" w:rsidR="00B2116A" w:rsidRDefault="00B2116A">
            <w:pPr>
              <w:spacing w:line="276" w:lineRule="auto"/>
              <w:rPr>
                <w:rFonts w:ascii="宋体" w:eastAsia="宋体" w:hAnsi="宋体" w:cs="Times New Roman"/>
                <w:szCs w:val="21"/>
              </w:rPr>
            </w:pPr>
          </w:p>
        </w:tc>
        <w:tc>
          <w:tcPr>
            <w:tcW w:w="1421" w:type="dxa"/>
          </w:tcPr>
          <w:p w14:paraId="2D64B356" w14:textId="77777777" w:rsidR="00B2116A" w:rsidRDefault="00B2116A">
            <w:pPr>
              <w:spacing w:line="276" w:lineRule="auto"/>
              <w:rPr>
                <w:rFonts w:ascii="宋体" w:eastAsia="宋体" w:hAnsi="宋体" w:cs="Times New Roman"/>
                <w:szCs w:val="21"/>
              </w:rPr>
            </w:pPr>
          </w:p>
        </w:tc>
      </w:tr>
    </w:tbl>
    <w:p w14:paraId="4C874422" w14:textId="77777777" w:rsidR="00B2116A" w:rsidRDefault="00B2116A">
      <w:pPr>
        <w:spacing w:line="276" w:lineRule="auto"/>
        <w:jc w:val="center"/>
        <w:rPr>
          <w:rFonts w:ascii="宋体" w:eastAsia="宋体" w:hAnsi="宋体" w:cs="Times New Roman"/>
          <w:szCs w:val="21"/>
        </w:rPr>
      </w:pPr>
    </w:p>
    <w:p w14:paraId="7C4D975A"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审查记录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842"/>
        <w:gridCol w:w="3402"/>
      </w:tblGrid>
      <w:tr w:rsidR="00B2116A" w14:paraId="5E86CCA2" w14:textId="77777777">
        <w:trPr>
          <w:trHeight w:val="514"/>
        </w:trPr>
        <w:tc>
          <w:tcPr>
            <w:tcW w:w="1951" w:type="dxa"/>
            <w:vAlign w:val="center"/>
          </w:tcPr>
          <w:p w14:paraId="47B45114"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文件编号</w:t>
            </w:r>
          </w:p>
        </w:tc>
        <w:tc>
          <w:tcPr>
            <w:tcW w:w="1418" w:type="dxa"/>
            <w:vAlign w:val="center"/>
          </w:tcPr>
          <w:p w14:paraId="6B974FFE"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审查人签字</w:t>
            </w:r>
          </w:p>
        </w:tc>
        <w:tc>
          <w:tcPr>
            <w:tcW w:w="1842" w:type="dxa"/>
            <w:vAlign w:val="center"/>
          </w:tcPr>
          <w:p w14:paraId="26E4BA69"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审查日期</w:t>
            </w:r>
          </w:p>
        </w:tc>
        <w:tc>
          <w:tcPr>
            <w:tcW w:w="3402" w:type="dxa"/>
            <w:vAlign w:val="center"/>
          </w:tcPr>
          <w:p w14:paraId="2FD020CB" w14:textId="77777777" w:rsidR="00B2116A" w:rsidRDefault="00AC0AFE">
            <w:pPr>
              <w:spacing w:line="276" w:lineRule="auto"/>
              <w:jc w:val="center"/>
              <w:rPr>
                <w:rFonts w:ascii="宋体" w:eastAsia="宋体" w:hAnsi="宋体" w:cs="Times New Roman"/>
                <w:szCs w:val="21"/>
              </w:rPr>
            </w:pPr>
            <w:r>
              <w:rPr>
                <w:rFonts w:ascii="宋体" w:eastAsia="宋体" w:hAnsi="宋体" w:cs="Times New Roman" w:hint="eastAsia"/>
                <w:szCs w:val="21"/>
              </w:rPr>
              <w:t>审查结果</w:t>
            </w:r>
          </w:p>
        </w:tc>
      </w:tr>
      <w:tr w:rsidR="00B2116A" w14:paraId="65CA80E5" w14:textId="77777777">
        <w:trPr>
          <w:trHeight w:val="514"/>
        </w:trPr>
        <w:tc>
          <w:tcPr>
            <w:tcW w:w="1951" w:type="dxa"/>
          </w:tcPr>
          <w:p w14:paraId="7465483A" w14:textId="5BD3ECC8" w:rsidR="00B2116A" w:rsidRDefault="00B2116A">
            <w:pPr>
              <w:spacing w:line="276" w:lineRule="auto"/>
              <w:rPr>
                <w:rFonts w:ascii="宋体" w:eastAsia="宋体" w:hAnsi="宋体" w:cs="Times New Roman"/>
                <w:szCs w:val="21"/>
              </w:rPr>
            </w:pPr>
          </w:p>
        </w:tc>
        <w:tc>
          <w:tcPr>
            <w:tcW w:w="1418" w:type="dxa"/>
          </w:tcPr>
          <w:p w14:paraId="6C90D00E" w14:textId="77777777" w:rsidR="00B2116A" w:rsidRDefault="00B2116A">
            <w:pPr>
              <w:spacing w:line="276" w:lineRule="auto"/>
              <w:rPr>
                <w:rFonts w:ascii="宋体" w:eastAsia="宋体" w:hAnsi="宋体" w:cs="Times New Roman"/>
                <w:szCs w:val="21"/>
              </w:rPr>
            </w:pPr>
          </w:p>
        </w:tc>
        <w:tc>
          <w:tcPr>
            <w:tcW w:w="1842" w:type="dxa"/>
          </w:tcPr>
          <w:p w14:paraId="0A8A9403" w14:textId="77777777" w:rsidR="00B2116A" w:rsidRDefault="00B2116A">
            <w:pPr>
              <w:spacing w:line="276" w:lineRule="auto"/>
              <w:rPr>
                <w:rFonts w:ascii="宋体" w:eastAsia="宋体" w:hAnsi="宋体" w:cs="Times New Roman"/>
                <w:szCs w:val="21"/>
              </w:rPr>
            </w:pPr>
          </w:p>
        </w:tc>
        <w:tc>
          <w:tcPr>
            <w:tcW w:w="3402" w:type="dxa"/>
          </w:tcPr>
          <w:p w14:paraId="015CF25D" w14:textId="77777777" w:rsidR="00B2116A" w:rsidRDefault="00B2116A">
            <w:pPr>
              <w:spacing w:line="276" w:lineRule="auto"/>
              <w:rPr>
                <w:rFonts w:ascii="宋体" w:eastAsia="宋体" w:hAnsi="宋体" w:cs="Times New Roman"/>
                <w:szCs w:val="21"/>
              </w:rPr>
            </w:pPr>
          </w:p>
        </w:tc>
      </w:tr>
      <w:tr w:rsidR="00B2116A" w14:paraId="2EDABF7E" w14:textId="77777777">
        <w:trPr>
          <w:trHeight w:val="514"/>
        </w:trPr>
        <w:tc>
          <w:tcPr>
            <w:tcW w:w="1951" w:type="dxa"/>
          </w:tcPr>
          <w:p w14:paraId="24BFCA5B" w14:textId="77777777" w:rsidR="00B2116A" w:rsidRDefault="00B2116A">
            <w:pPr>
              <w:spacing w:line="276" w:lineRule="auto"/>
              <w:rPr>
                <w:rFonts w:ascii="宋体" w:eastAsia="宋体" w:hAnsi="宋体" w:cs="Times New Roman"/>
                <w:szCs w:val="21"/>
              </w:rPr>
            </w:pPr>
          </w:p>
        </w:tc>
        <w:tc>
          <w:tcPr>
            <w:tcW w:w="1418" w:type="dxa"/>
          </w:tcPr>
          <w:p w14:paraId="6CC2B8FB" w14:textId="77777777" w:rsidR="00B2116A" w:rsidRDefault="00B2116A">
            <w:pPr>
              <w:spacing w:line="276" w:lineRule="auto"/>
              <w:rPr>
                <w:rFonts w:ascii="宋体" w:eastAsia="宋体" w:hAnsi="宋体" w:cs="Times New Roman"/>
                <w:szCs w:val="21"/>
              </w:rPr>
            </w:pPr>
          </w:p>
        </w:tc>
        <w:tc>
          <w:tcPr>
            <w:tcW w:w="1842" w:type="dxa"/>
          </w:tcPr>
          <w:p w14:paraId="053F70AB" w14:textId="77777777" w:rsidR="00B2116A" w:rsidRDefault="00B2116A">
            <w:pPr>
              <w:spacing w:line="276" w:lineRule="auto"/>
              <w:rPr>
                <w:rFonts w:ascii="宋体" w:eastAsia="宋体" w:hAnsi="宋体" w:cs="Times New Roman"/>
                <w:szCs w:val="21"/>
              </w:rPr>
            </w:pPr>
          </w:p>
        </w:tc>
        <w:tc>
          <w:tcPr>
            <w:tcW w:w="3402" w:type="dxa"/>
          </w:tcPr>
          <w:p w14:paraId="6DD210C8" w14:textId="77777777" w:rsidR="00B2116A" w:rsidRDefault="00B2116A">
            <w:pPr>
              <w:spacing w:line="276" w:lineRule="auto"/>
              <w:rPr>
                <w:rFonts w:ascii="宋体" w:eastAsia="宋体" w:hAnsi="宋体" w:cs="Times New Roman"/>
                <w:szCs w:val="21"/>
              </w:rPr>
            </w:pPr>
          </w:p>
        </w:tc>
      </w:tr>
      <w:tr w:rsidR="00B2116A" w14:paraId="7E475BFA" w14:textId="77777777">
        <w:trPr>
          <w:trHeight w:val="514"/>
        </w:trPr>
        <w:tc>
          <w:tcPr>
            <w:tcW w:w="1951" w:type="dxa"/>
          </w:tcPr>
          <w:p w14:paraId="18F121E9" w14:textId="77777777" w:rsidR="00B2116A" w:rsidRDefault="00B2116A">
            <w:pPr>
              <w:spacing w:line="276" w:lineRule="auto"/>
              <w:rPr>
                <w:rFonts w:ascii="宋体" w:eastAsia="宋体" w:hAnsi="宋体" w:cs="Times New Roman"/>
                <w:szCs w:val="21"/>
              </w:rPr>
            </w:pPr>
          </w:p>
        </w:tc>
        <w:tc>
          <w:tcPr>
            <w:tcW w:w="1418" w:type="dxa"/>
          </w:tcPr>
          <w:p w14:paraId="75AEB904" w14:textId="77777777" w:rsidR="00B2116A" w:rsidRDefault="00B2116A">
            <w:pPr>
              <w:spacing w:line="276" w:lineRule="auto"/>
              <w:rPr>
                <w:rFonts w:ascii="宋体" w:eastAsia="宋体" w:hAnsi="宋体" w:cs="Times New Roman"/>
                <w:szCs w:val="21"/>
              </w:rPr>
            </w:pPr>
          </w:p>
        </w:tc>
        <w:tc>
          <w:tcPr>
            <w:tcW w:w="1842" w:type="dxa"/>
          </w:tcPr>
          <w:p w14:paraId="4AFCB255" w14:textId="77777777" w:rsidR="00B2116A" w:rsidRDefault="00B2116A">
            <w:pPr>
              <w:spacing w:line="276" w:lineRule="auto"/>
              <w:rPr>
                <w:rFonts w:ascii="宋体" w:eastAsia="宋体" w:hAnsi="宋体" w:cs="Times New Roman"/>
                <w:szCs w:val="21"/>
              </w:rPr>
            </w:pPr>
          </w:p>
        </w:tc>
        <w:tc>
          <w:tcPr>
            <w:tcW w:w="3402" w:type="dxa"/>
          </w:tcPr>
          <w:p w14:paraId="5B5245A9" w14:textId="77777777" w:rsidR="00B2116A" w:rsidRDefault="00B2116A">
            <w:pPr>
              <w:spacing w:line="276" w:lineRule="auto"/>
              <w:rPr>
                <w:rFonts w:ascii="宋体" w:eastAsia="宋体" w:hAnsi="宋体" w:cs="Times New Roman"/>
                <w:szCs w:val="21"/>
              </w:rPr>
            </w:pPr>
          </w:p>
        </w:tc>
      </w:tr>
      <w:tr w:rsidR="00B2116A" w14:paraId="69AEB49C" w14:textId="77777777">
        <w:trPr>
          <w:trHeight w:val="514"/>
        </w:trPr>
        <w:tc>
          <w:tcPr>
            <w:tcW w:w="1951" w:type="dxa"/>
          </w:tcPr>
          <w:p w14:paraId="12A08221" w14:textId="77777777" w:rsidR="00B2116A" w:rsidRDefault="00B2116A">
            <w:pPr>
              <w:spacing w:line="276" w:lineRule="auto"/>
              <w:rPr>
                <w:rFonts w:ascii="宋体" w:eastAsia="宋体" w:hAnsi="宋体" w:cs="Times New Roman"/>
                <w:szCs w:val="21"/>
              </w:rPr>
            </w:pPr>
          </w:p>
        </w:tc>
        <w:tc>
          <w:tcPr>
            <w:tcW w:w="1418" w:type="dxa"/>
          </w:tcPr>
          <w:p w14:paraId="32ACECA7" w14:textId="77777777" w:rsidR="00B2116A" w:rsidRDefault="00B2116A">
            <w:pPr>
              <w:spacing w:line="276" w:lineRule="auto"/>
              <w:rPr>
                <w:rFonts w:ascii="宋体" w:eastAsia="宋体" w:hAnsi="宋体" w:cs="Times New Roman"/>
                <w:szCs w:val="21"/>
              </w:rPr>
            </w:pPr>
          </w:p>
        </w:tc>
        <w:tc>
          <w:tcPr>
            <w:tcW w:w="1842" w:type="dxa"/>
          </w:tcPr>
          <w:p w14:paraId="2EFF9324" w14:textId="77777777" w:rsidR="00B2116A" w:rsidRDefault="00B2116A">
            <w:pPr>
              <w:spacing w:line="276" w:lineRule="auto"/>
              <w:rPr>
                <w:rFonts w:ascii="宋体" w:eastAsia="宋体" w:hAnsi="宋体" w:cs="Times New Roman"/>
                <w:szCs w:val="21"/>
              </w:rPr>
            </w:pPr>
          </w:p>
        </w:tc>
        <w:tc>
          <w:tcPr>
            <w:tcW w:w="3402" w:type="dxa"/>
          </w:tcPr>
          <w:p w14:paraId="1DBCA911" w14:textId="77777777" w:rsidR="00B2116A" w:rsidRDefault="00B2116A">
            <w:pPr>
              <w:spacing w:line="276" w:lineRule="auto"/>
              <w:rPr>
                <w:rFonts w:ascii="宋体" w:eastAsia="宋体" w:hAnsi="宋体" w:cs="Times New Roman"/>
                <w:szCs w:val="21"/>
              </w:rPr>
            </w:pPr>
          </w:p>
        </w:tc>
      </w:tr>
    </w:tbl>
    <w:p w14:paraId="6E53B0CA" w14:textId="77777777" w:rsidR="00B2116A" w:rsidRDefault="00B2116A">
      <w:pPr>
        <w:widowControl/>
        <w:jc w:val="left"/>
        <w:rPr>
          <w:rFonts w:ascii="宋体" w:eastAsia="宋体" w:hAnsi="宋体" w:cs="Times New Roman"/>
          <w:szCs w:val="21"/>
        </w:rPr>
      </w:pPr>
    </w:p>
    <w:p w14:paraId="1BB239B5" w14:textId="77777777" w:rsidR="00B2116A" w:rsidRDefault="00B2116A">
      <w:pPr>
        <w:autoSpaceDE w:val="0"/>
        <w:autoSpaceDN w:val="0"/>
        <w:adjustRightInd w:val="0"/>
        <w:jc w:val="center"/>
        <w:rPr>
          <w:rFonts w:ascii="黑体" w:eastAsia="黑体" w:cs="宋体"/>
          <w:b/>
          <w:kern w:val="0"/>
          <w:sz w:val="28"/>
          <w:szCs w:val="28"/>
        </w:rPr>
        <w:sectPr w:rsidR="00B2116A">
          <w:footerReference w:type="default" r:id="rId7"/>
          <w:pgSz w:w="11906" w:h="16838"/>
          <w:pgMar w:top="1440" w:right="1800" w:bottom="1440" w:left="1800" w:header="851" w:footer="992" w:gutter="0"/>
          <w:cols w:space="425"/>
          <w:docGrid w:type="lines" w:linePitch="312"/>
        </w:sectPr>
      </w:pPr>
    </w:p>
    <w:p w14:paraId="4B2F8E96" w14:textId="77777777" w:rsidR="00CB48C0" w:rsidRPr="00922613" w:rsidRDefault="00CB48C0" w:rsidP="00CB48C0">
      <w:pPr>
        <w:autoSpaceDE w:val="0"/>
        <w:autoSpaceDN w:val="0"/>
        <w:adjustRightInd w:val="0"/>
        <w:jc w:val="center"/>
        <w:rPr>
          <w:rFonts w:ascii="宋体" w:eastAsia="宋体" w:hAnsi="宋体" w:cs="宋体"/>
          <w:kern w:val="0"/>
          <w:sz w:val="24"/>
          <w:szCs w:val="24"/>
        </w:rPr>
      </w:pPr>
      <w:r w:rsidRPr="00922613">
        <w:rPr>
          <w:rFonts w:ascii="宋体" w:eastAsia="宋体" w:hAnsi="宋体" w:cs="宋体" w:hint="eastAsia"/>
          <w:b/>
          <w:kern w:val="0"/>
          <w:sz w:val="24"/>
          <w:szCs w:val="24"/>
        </w:rPr>
        <w:lastRenderedPageBreak/>
        <w:t>湖南省疾病预防控制中心伦理委员会章程</w:t>
      </w:r>
      <w:r w:rsidRPr="00922613">
        <w:rPr>
          <w:rFonts w:ascii="宋体" w:eastAsia="宋体" w:hAnsi="宋体" w:cs="宋体" w:hint="eastAsia"/>
          <w:kern w:val="0"/>
          <w:sz w:val="24"/>
          <w:szCs w:val="24"/>
        </w:rPr>
        <w:t xml:space="preserve"> </w:t>
      </w:r>
    </w:p>
    <w:p w14:paraId="7A7DDB0B" w14:textId="77777777" w:rsidR="00CB48C0" w:rsidRPr="00922613" w:rsidRDefault="00CB48C0" w:rsidP="00CB48C0">
      <w:pPr>
        <w:autoSpaceDE w:val="0"/>
        <w:autoSpaceDN w:val="0"/>
        <w:adjustRightInd w:val="0"/>
        <w:jc w:val="left"/>
        <w:rPr>
          <w:rFonts w:ascii="宋体" w:eastAsia="宋体" w:hAnsi="宋体" w:cs="宋体"/>
          <w:kern w:val="0"/>
          <w:sz w:val="24"/>
          <w:szCs w:val="24"/>
        </w:rPr>
      </w:pPr>
    </w:p>
    <w:p w14:paraId="49492AEF" w14:textId="77777777" w:rsidR="00CB48C0" w:rsidRPr="00922613" w:rsidRDefault="00CB48C0" w:rsidP="00CB48C0">
      <w:pPr>
        <w:autoSpaceDE w:val="0"/>
        <w:autoSpaceDN w:val="0"/>
        <w:adjustRightInd w:val="0"/>
        <w:jc w:val="center"/>
        <w:rPr>
          <w:rFonts w:ascii="宋体" w:eastAsia="宋体" w:hAnsi="宋体" w:cs="宋体"/>
          <w:b/>
          <w:kern w:val="0"/>
          <w:sz w:val="24"/>
          <w:szCs w:val="24"/>
        </w:rPr>
      </w:pPr>
      <w:r w:rsidRPr="00922613">
        <w:rPr>
          <w:rFonts w:ascii="宋体" w:eastAsia="宋体" w:hAnsi="宋体" w:cs="宋体" w:hint="eastAsia"/>
          <w:b/>
          <w:kern w:val="0"/>
          <w:sz w:val="24"/>
          <w:szCs w:val="24"/>
        </w:rPr>
        <w:t>第一章  总则</w:t>
      </w:r>
    </w:p>
    <w:p w14:paraId="1700E912" w14:textId="017A4743"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第一条  为确保疫苗等临床试验项目的可行性和适宜性，充分保障受试者的个人尊严，使之符合医学伦理学原则，依据原国家食品药品监督管理总局《药品临床试验质量管理规范》</w:t>
      </w:r>
      <w:r w:rsidRPr="00CB48C0">
        <w:rPr>
          <w:rFonts w:ascii="宋体" w:eastAsia="宋体" w:hAnsi="宋体" w:cs="Times New Roman" w:hint="eastAsia"/>
          <w:kern w:val="0"/>
          <w:szCs w:val="21"/>
        </w:rPr>
        <w:t>（</w:t>
      </w:r>
      <w:r w:rsidRPr="00CB48C0">
        <w:rPr>
          <w:rFonts w:ascii="宋体" w:eastAsia="宋体" w:hAnsi="宋体" w:cs="Times New Roman"/>
          <w:kern w:val="0"/>
          <w:szCs w:val="21"/>
        </w:rPr>
        <w:t>2020</w:t>
      </w:r>
      <w:r w:rsidRPr="00CB48C0">
        <w:rPr>
          <w:rFonts w:ascii="宋体" w:eastAsia="宋体" w:hAnsi="宋体" w:cs="Times New Roman" w:hint="eastAsia"/>
          <w:kern w:val="0"/>
          <w:szCs w:val="21"/>
        </w:rPr>
        <w:t>年）、《药物临床试验伦理审查工作指导原则》（</w:t>
      </w:r>
      <w:r w:rsidRPr="00CB48C0">
        <w:rPr>
          <w:rFonts w:ascii="宋体" w:eastAsia="宋体" w:hAnsi="宋体" w:cs="Times New Roman"/>
          <w:kern w:val="0"/>
          <w:szCs w:val="21"/>
        </w:rPr>
        <w:t>2010</w:t>
      </w:r>
      <w:r w:rsidRPr="00CB48C0">
        <w:rPr>
          <w:rFonts w:ascii="宋体" w:eastAsia="宋体" w:hAnsi="宋体" w:cs="Times New Roman" w:hint="eastAsia"/>
          <w:kern w:val="0"/>
          <w:szCs w:val="21"/>
        </w:rPr>
        <w:t>年）、《疫苗临床试验质量管理指导原则</w:t>
      </w:r>
      <w:r w:rsidRPr="00CB48C0">
        <w:rPr>
          <w:rFonts w:ascii="宋体" w:eastAsia="宋体" w:hAnsi="宋体" w:cs="Times New Roman"/>
          <w:kern w:val="0"/>
          <w:szCs w:val="21"/>
        </w:rPr>
        <w:t>(</w:t>
      </w:r>
      <w:r w:rsidRPr="00CB48C0">
        <w:rPr>
          <w:rFonts w:ascii="宋体" w:eastAsia="宋体" w:hAnsi="宋体" w:cs="Times New Roman" w:hint="eastAsia"/>
          <w:kern w:val="0"/>
          <w:szCs w:val="21"/>
        </w:rPr>
        <w:t>试行</w:t>
      </w:r>
      <w:r w:rsidRPr="00CB48C0">
        <w:rPr>
          <w:rFonts w:ascii="宋体" w:eastAsia="宋体" w:hAnsi="宋体" w:cs="Times New Roman"/>
          <w:kern w:val="0"/>
          <w:szCs w:val="21"/>
        </w:rPr>
        <w:t>)</w:t>
      </w:r>
      <w:r w:rsidRPr="00CB48C0">
        <w:rPr>
          <w:rFonts w:ascii="宋体" w:eastAsia="宋体" w:hAnsi="宋体" w:cs="Times New Roman" w:hint="eastAsia"/>
          <w:kern w:val="0"/>
          <w:szCs w:val="21"/>
        </w:rPr>
        <w:t>》（</w:t>
      </w:r>
      <w:r w:rsidRPr="00CB48C0">
        <w:rPr>
          <w:rFonts w:ascii="宋体" w:eastAsia="宋体" w:hAnsi="宋体" w:cs="Times New Roman"/>
          <w:kern w:val="0"/>
          <w:szCs w:val="21"/>
        </w:rPr>
        <w:t>2013</w:t>
      </w:r>
      <w:r w:rsidRPr="00CB48C0">
        <w:rPr>
          <w:rFonts w:ascii="宋体" w:eastAsia="宋体" w:hAnsi="宋体" w:cs="Times New Roman" w:hint="eastAsia"/>
          <w:kern w:val="0"/>
          <w:szCs w:val="21"/>
        </w:rPr>
        <w:t>年）、国家卫生计生委《涉及人的生物医学研究伦理审查办法》（</w:t>
      </w:r>
      <w:r w:rsidRPr="00CB48C0">
        <w:rPr>
          <w:rFonts w:ascii="宋体" w:eastAsia="宋体" w:hAnsi="宋体" w:cs="Times New Roman"/>
          <w:kern w:val="0"/>
          <w:szCs w:val="21"/>
        </w:rPr>
        <w:t>2016</w:t>
      </w:r>
      <w:r w:rsidRPr="00CB48C0">
        <w:rPr>
          <w:rFonts w:ascii="宋体" w:eastAsia="宋体" w:hAnsi="宋体" w:cs="Times New Roman" w:hint="eastAsia"/>
          <w:kern w:val="0"/>
          <w:szCs w:val="21"/>
        </w:rPr>
        <w:t>年），参照世界卫生组织（</w:t>
      </w:r>
      <w:r w:rsidRPr="00CB48C0">
        <w:rPr>
          <w:rFonts w:ascii="宋体" w:eastAsia="宋体" w:hAnsi="宋体" w:cs="Times New Roman"/>
          <w:kern w:val="0"/>
          <w:szCs w:val="21"/>
        </w:rPr>
        <w:t>WHO</w:t>
      </w:r>
      <w:r w:rsidRPr="00CB48C0">
        <w:rPr>
          <w:rFonts w:ascii="宋体" w:eastAsia="宋体" w:hAnsi="宋体" w:cs="Times New Roman" w:hint="eastAsia"/>
          <w:kern w:val="0"/>
          <w:szCs w:val="21"/>
        </w:rPr>
        <w:t>）《评审生物医学研究的伦理委员会工作指南》（</w:t>
      </w:r>
      <w:r w:rsidRPr="00CB48C0">
        <w:rPr>
          <w:rFonts w:ascii="宋体" w:eastAsia="宋体" w:hAnsi="宋体" w:cs="Times New Roman"/>
          <w:kern w:val="0"/>
          <w:szCs w:val="21"/>
        </w:rPr>
        <w:t>2000</w:t>
      </w:r>
      <w:r w:rsidRPr="00CB48C0">
        <w:rPr>
          <w:rFonts w:ascii="宋体" w:eastAsia="宋体" w:hAnsi="宋体" w:cs="Times New Roman" w:hint="eastAsia"/>
          <w:kern w:val="0"/>
          <w:szCs w:val="21"/>
        </w:rPr>
        <w:t>年）、《世界医学大会赫尔辛基宣言》（</w:t>
      </w:r>
      <w:r w:rsidRPr="00CB48C0">
        <w:rPr>
          <w:rFonts w:ascii="宋体" w:eastAsia="宋体" w:hAnsi="宋体" w:cs="Times New Roman"/>
          <w:kern w:val="0"/>
          <w:szCs w:val="21"/>
        </w:rPr>
        <w:t>2013</w:t>
      </w:r>
      <w:r w:rsidRPr="00CB48C0">
        <w:rPr>
          <w:rFonts w:ascii="宋体" w:eastAsia="宋体" w:hAnsi="宋体" w:cs="Times New Roman" w:hint="eastAsia"/>
          <w:kern w:val="0"/>
          <w:szCs w:val="21"/>
        </w:rPr>
        <w:t>年）（以下简称《赫尔辛基宣言》）等规定制订本章程</w:t>
      </w:r>
      <w:r w:rsidRPr="00CB48C0">
        <w:rPr>
          <w:rFonts w:ascii="宋体" w:eastAsia="宋体" w:hAnsi="宋体" w:cs="宋体" w:hint="eastAsia"/>
          <w:kern w:val="0"/>
          <w:szCs w:val="21"/>
        </w:rPr>
        <w:t>。</w:t>
      </w:r>
    </w:p>
    <w:p w14:paraId="18FA0DA4"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第二条  伦理委员会以维护涉及人体的生物医学研究活动参与者的尊严、权益、安全和福利为宗旨，对拟开展的临床试验活动中的伦理学问题进行独立、认真和及时的审查，对已经得到同意且正在进行的研究活动进行伦理学跟踪评价，并接受相关监督管理部门的指导和监督。临床试验伦理委员会独立的开展相关工作，其组成与工作不受任何参与试验者影响。</w:t>
      </w:r>
    </w:p>
    <w:p w14:paraId="4BEA0599"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第三条  伦理委员会有责任充分考虑研究或活动参与者及其相关社区的利益，同时考虑研究人员的利益和需求。</w:t>
      </w:r>
    </w:p>
    <w:p w14:paraId="6BE5A12F" w14:textId="77777777" w:rsidR="00CB48C0" w:rsidRPr="00CB48C0" w:rsidRDefault="00CB48C0" w:rsidP="00CB48C0">
      <w:pPr>
        <w:autoSpaceDE w:val="0"/>
        <w:autoSpaceDN w:val="0"/>
        <w:adjustRightInd w:val="0"/>
        <w:jc w:val="center"/>
        <w:rPr>
          <w:rFonts w:ascii="宋体" w:eastAsia="宋体" w:hAnsi="宋体" w:cs="宋体"/>
          <w:b/>
          <w:kern w:val="0"/>
          <w:szCs w:val="21"/>
        </w:rPr>
      </w:pPr>
      <w:r w:rsidRPr="00CB48C0">
        <w:rPr>
          <w:rFonts w:ascii="宋体" w:eastAsia="宋体" w:hAnsi="宋体" w:cs="宋体" w:hint="eastAsia"/>
          <w:b/>
          <w:kern w:val="0"/>
          <w:szCs w:val="21"/>
        </w:rPr>
        <w:t>第二章  组织</w:t>
      </w:r>
    </w:p>
    <w:p w14:paraId="636589C6"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第四条  伦理委员会成员通过内部推荐和社会招募产生，经</w:t>
      </w:r>
      <w:r w:rsidRPr="00CB48C0">
        <w:rPr>
          <w:rFonts w:ascii="宋体" w:eastAsia="宋体" w:hAnsi="宋体" w:cs="宋体" w:hint="eastAsia"/>
          <w:iCs/>
          <w:kern w:val="0"/>
          <w:szCs w:val="21"/>
        </w:rPr>
        <w:t>中心办公会议</w:t>
      </w:r>
      <w:r w:rsidRPr="00CB48C0">
        <w:rPr>
          <w:rFonts w:ascii="宋体" w:eastAsia="宋体" w:hAnsi="宋体" w:cs="宋体" w:hint="eastAsia"/>
          <w:kern w:val="0"/>
          <w:szCs w:val="21"/>
        </w:rPr>
        <w:t>资格审查后发布组成通知。每届任期</w:t>
      </w:r>
      <w:r w:rsidRPr="00CB48C0">
        <w:rPr>
          <w:rFonts w:ascii="宋体" w:eastAsia="宋体" w:hAnsi="宋体" w:cs="宋体" w:hint="eastAsia"/>
          <w:iCs/>
          <w:kern w:val="0"/>
          <w:szCs w:val="21"/>
        </w:rPr>
        <w:t>五</w:t>
      </w:r>
      <w:r w:rsidRPr="00CB48C0">
        <w:rPr>
          <w:rFonts w:ascii="宋体" w:eastAsia="宋体" w:hAnsi="宋体" w:cs="宋体" w:hint="eastAsia"/>
          <w:kern w:val="0"/>
          <w:szCs w:val="21"/>
        </w:rPr>
        <w:t>年。委员涵盖医药相关专业人员、非医药专业人员、法律专家，以及独立于研究</w:t>
      </w:r>
      <w:r w:rsidRPr="00CB48C0">
        <w:rPr>
          <w:rFonts w:ascii="宋体" w:eastAsia="宋体" w:hAnsi="宋体" w:cs="宋体"/>
          <w:kern w:val="0"/>
          <w:szCs w:val="21"/>
        </w:rPr>
        <w:t>/</w:t>
      </w:r>
      <w:r w:rsidRPr="00CB48C0">
        <w:rPr>
          <w:rFonts w:ascii="宋体" w:eastAsia="宋体" w:hAnsi="宋体" w:cs="宋体" w:hint="eastAsia"/>
          <w:kern w:val="0"/>
          <w:szCs w:val="21"/>
        </w:rPr>
        <w:t>试验单位之外的人员。</w:t>
      </w:r>
    </w:p>
    <w:p w14:paraId="49635AF4" w14:textId="28AFF5ED"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第五条  伦理委员会组成至少</w:t>
      </w:r>
      <w:r w:rsidR="00E25696">
        <w:rPr>
          <w:rFonts w:ascii="宋体" w:eastAsia="宋体" w:hAnsi="宋体" w:cs="宋体"/>
          <w:iCs/>
          <w:kern w:val="0"/>
          <w:szCs w:val="21"/>
        </w:rPr>
        <w:t>13</w:t>
      </w:r>
      <w:r w:rsidRPr="00CB48C0">
        <w:rPr>
          <w:rFonts w:ascii="宋体" w:eastAsia="宋体" w:hAnsi="宋体" w:cs="宋体" w:hint="eastAsia"/>
          <w:kern w:val="0"/>
          <w:szCs w:val="21"/>
        </w:rPr>
        <w:t>人，且性别均衡。选举产生伦理委员会主任委员1名，副主任委员若干名，至少设专职秘书1名。委员会可以聘请独立顾问或委任常任独立顾问。独立顾问应就研究或试验方案中的一些问题向委员会提供咨询意见，但独立顾问不具有伦理审查表决权。</w:t>
      </w:r>
    </w:p>
    <w:p w14:paraId="03A51D4F"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第六条  伦理委员会的各项经费列入中心财政预算，支付委员审查劳务费用。经费使用按照中心财务管理规定执行。</w:t>
      </w:r>
    </w:p>
    <w:p w14:paraId="70620AEE"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第七条  伦理委员会办公室设在科研管理部门，有独立办公室，并具备存放审查项目资料的档案设备。</w:t>
      </w:r>
    </w:p>
    <w:p w14:paraId="7C4A453E" w14:textId="77777777" w:rsidR="00CB48C0" w:rsidRPr="00CB48C0" w:rsidRDefault="00CB48C0" w:rsidP="00CB48C0">
      <w:pPr>
        <w:autoSpaceDE w:val="0"/>
        <w:autoSpaceDN w:val="0"/>
        <w:adjustRightInd w:val="0"/>
        <w:jc w:val="center"/>
        <w:rPr>
          <w:rFonts w:ascii="宋体" w:eastAsia="宋体" w:hAnsi="宋体" w:cs="宋体"/>
          <w:b/>
          <w:kern w:val="0"/>
          <w:szCs w:val="21"/>
        </w:rPr>
      </w:pPr>
      <w:r w:rsidRPr="00CB48C0">
        <w:rPr>
          <w:rFonts w:ascii="宋体" w:eastAsia="宋体" w:hAnsi="宋体" w:cs="宋体" w:hint="eastAsia"/>
          <w:b/>
          <w:kern w:val="0"/>
          <w:szCs w:val="21"/>
        </w:rPr>
        <w:t>第三章  职能</w:t>
      </w:r>
    </w:p>
    <w:p w14:paraId="484F543C"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第八条  伦理委员会负责审查研究者提出的涉及人体的临床试验申请是否符合人体研究的伦理道德标准，是否符合《赫尔辛基宣言》的要求。其它流行病学调查等不涉及人体试验的预防医学科研项目由中心伦理委员会负责审查。</w:t>
      </w:r>
    </w:p>
    <w:p w14:paraId="265F4D40"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第九条  伦理委员会主要工作内容：</w:t>
      </w:r>
    </w:p>
    <w:p w14:paraId="312366B8" w14:textId="77777777" w:rsidR="00CB48C0" w:rsidRPr="00CB48C0" w:rsidRDefault="00CB48C0" w:rsidP="00CB48C0">
      <w:pPr>
        <w:autoSpaceDE w:val="0"/>
        <w:autoSpaceDN w:val="0"/>
        <w:adjustRightInd w:val="0"/>
        <w:ind w:firstLineChars="150" w:firstLine="315"/>
        <w:jc w:val="left"/>
        <w:rPr>
          <w:rFonts w:ascii="宋体" w:eastAsia="宋体" w:hAnsi="宋体" w:cs="宋体"/>
          <w:kern w:val="0"/>
          <w:szCs w:val="21"/>
        </w:rPr>
      </w:pPr>
      <w:r w:rsidRPr="00CB48C0">
        <w:rPr>
          <w:rFonts w:ascii="宋体" w:eastAsia="宋体" w:hAnsi="宋体" w:cs="宋体" w:hint="eastAsia"/>
          <w:kern w:val="0"/>
          <w:szCs w:val="21"/>
        </w:rPr>
        <w:t>（一）对中心涉及临床试验的科学性和伦理问题进行研究并提出咨询意见；</w:t>
      </w:r>
    </w:p>
    <w:p w14:paraId="36286BD9" w14:textId="77777777" w:rsidR="00CB48C0" w:rsidRPr="00CB48C0" w:rsidRDefault="00CB48C0" w:rsidP="00CB48C0">
      <w:pPr>
        <w:autoSpaceDE w:val="0"/>
        <w:autoSpaceDN w:val="0"/>
        <w:adjustRightInd w:val="0"/>
        <w:ind w:firstLineChars="150" w:firstLine="315"/>
        <w:jc w:val="left"/>
        <w:rPr>
          <w:rFonts w:ascii="宋体" w:eastAsia="宋体" w:hAnsi="宋体" w:cs="宋体"/>
          <w:kern w:val="0"/>
          <w:szCs w:val="21"/>
        </w:rPr>
      </w:pPr>
      <w:r w:rsidRPr="00CB48C0">
        <w:rPr>
          <w:rFonts w:ascii="宋体" w:eastAsia="宋体" w:hAnsi="宋体" w:cs="宋体" w:hint="eastAsia"/>
          <w:kern w:val="0"/>
          <w:szCs w:val="21"/>
        </w:rPr>
        <w:t>（二）对涉及人体的疫苗等临床试验进行伦理审查；</w:t>
      </w:r>
    </w:p>
    <w:p w14:paraId="47BE36DA" w14:textId="77C3033C" w:rsidR="00CB48C0" w:rsidRPr="00CB48C0" w:rsidRDefault="00CB48C0" w:rsidP="00CB48C0">
      <w:pPr>
        <w:autoSpaceDE w:val="0"/>
        <w:autoSpaceDN w:val="0"/>
        <w:adjustRightInd w:val="0"/>
        <w:ind w:firstLineChars="150" w:firstLine="315"/>
        <w:jc w:val="left"/>
        <w:rPr>
          <w:rFonts w:ascii="宋体" w:eastAsia="宋体" w:hAnsi="宋体" w:cs="宋体"/>
          <w:kern w:val="0"/>
          <w:szCs w:val="21"/>
        </w:rPr>
      </w:pPr>
      <w:r w:rsidRPr="00CB48C0">
        <w:rPr>
          <w:rFonts w:ascii="宋体" w:eastAsia="宋体" w:hAnsi="宋体" w:cs="宋体" w:hint="eastAsia"/>
          <w:kern w:val="0"/>
          <w:szCs w:val="21"/>
        </w:rPr>
        <w:t>（三）受理</w:t>
      </w:r>
      <w:r w:rsidR="00ED0CE3">
        <w:rPr>
          <w:rFonts w:ascii="宋体" w:eastAsia="宋体" w:hAnsi="宋体" w:cs="宋体" w:hint="eastAsia"/>
          <w:kern w:val="0"/>
          <w:szCs w:val="21"/>
        </w:rPr>
        <w:t>本</w:t>
      </w:r>
      <w:r w:rsidRPr="00CB48C0">
        <w:rPr>
          <w:rFonts w:ascii="宋体" w:eastAsia="宋体" w:hAnsi="宋体" w:cs="宋体" w:hint="eastAsia"/>
          <w:kern w:val="0"/>
          <w:szCs w:val="21"/>
        </w:rPr>
        <w:t>单位</w:t>
      </w:r>
      <w:r w:rsidR="00ED0CE3">
        <w:rPr>
          <w:rFonts w:ascii="宋体" w:eastAsia="宋体" w:hAnsi="宋体" w:cs="宋体" w:hint="eastAsia"/>
          <w:kern w:val="0"/>
          <w:szCs w:val="21"/>
        </w:rPr>
        <w:t>科室</w:t>
      </w:r>
      <w:r w:rsidRPr="00CB48C0">
        <w:rPr>
          <w:rFonts w:ascii="宋体" w:eastAsia="宋体" w:hAnsi="宋体" w:cs="宋体" w:hint="eastAsia"/>
          <w:kern w:val="0"/>
          <w:szCs w:val="21"/>
        </w:rPr>
        <w:t>委托的疫苗临床试验伦理审查项目；</w:t>
      </w:r>
    </w:p>
    <w:p w14:paraId="674B2CEC" w14:textId="77777777" w:rsidR="00CB48C0" w:rsidRPr="00CB48C0" w:rsidRDefault="00CB48C0" w:rsidP="00CB48C0">
      <w:pPr>
        <w:ind w:firstLineChars="150" w:firstLine="315"/>
        <w:rPr>
          <w:rFonts w:ascii="宋体" w:eastAsia="宋体" w:hAnsi="宋体" w:cs="宋体"/>
          <w:kern w:val="0"/>
          <w:szCs w:val="21"/>
        </w:rPr>
      </w:pPr>
      <w:r w:rsidRPr="00CB48C0">
        <w:rPr>
          <w:rFonts w:ascii="宋体" w:eastAsia="宋体" w:hAnsi="宋体" w:cs="宋体" w:hint="eastAsia"/>
          <w:kern w:val="0"/>
          <w:szCs w:val="21"/>
        </w:rPr>
        <w:t>（四）开展培训和对外交流。</w:t>
      </w:r>
    </w:p>
    <w:p w14:paraId="4A0750DF" w14:textId="77777777" w:rsidR="00CB48C0" w:rsidRPr="00CB48C0" w:rsidRDefault="00CB48C0" w:rsidP="00CB48C0">
      <w:pPr>
        <w:autoSpaceDE w:val="0"/>
        <w:autoSpaceDN w:val="0"/>
        <w:adjustRightInd w:val="0"/>
        <w:jc w:val="center"/>
        <w:rPr>
          <w:rFonts w:ascii="宋体" w:eastAsia="宋体" w:hAnsi="宋体" w:cs="宋体"/>
          <w:b/>
          <w:kern w:val="0"/>
          <w:szCs w:val="21"/>
        </w:rPr>
      </w:pPr>
      <w:r w:rsidRPr="00CB48C0">
        <w:rPr>
          <w:rFonts w:ascii="宋体" w:eastAsia="宋体" w:hAnsi="宋体" w:cs="宋体" w:hint="eastAsia"/>
          <w:b/>
          <w:kern w:val="0"/>
          <w:szCs w:val="21"/>
        </w:rPr>
        <w:t>第四章  纪律</w:t>
      </w:r>
    </w:p>
    <w:p w14:paraId="15B64D83"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第十条  伦理委员会在中心网站公开委员会章程、规章制度、指南并及时公开委员会工作动态，接受社会监督。</w:t>
      </w:r>
    </w:p>
    <w:p w14:paraId="0DC84D8B"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第十一条  伦理审查采取回避制度。委员与审查项目存在利益关系时应回避。</w:t>
      </w:r>
    </w:p>
    <w:p w14:paraId="585394C0" w14:textId="77777777" w:rsidR="00CB48C0" w:rsidRPr="00CB48C0" w:rsidRDefault="00CB48C0" w:rsidP="00CB48C0">
      <w:pPr>
        <w:autoSpaceDE w:val="0"/>
        <w:autoSpaceDN w:val="0"/>
        <w:adjustRightInd w:val="0"/>
        <w:jc w:val="left"/>
        <w:rPr>
          <w:rFonts w:ascii="宋体" w:eastAsia="宋体" w:hAnsi="宋体" w:cs="Times New Roman"/>
          <w:kern w:val="0"/>
          <w:szCs w:val="21"/>
        </w:rPr>
      </w:pPr>
      <w:r w:rsidRPr="00CB48C0">
        <w:rPr>
          <w:rFonts w:ascii="宋体" w:eastAsia="宋体" w:hAnsi="宋体" w:cs="宋体" w:hint="eastAsia"/>
          <w:kern w:val="0"/>
          <w:szCs w:val="21"/>
        </w:rPr>
        <w:t>第十二条  严格遵守保密制度，若有违反制度规定的情况发生，</w:t>
      </w:r>
      <w:r w:rsidRPr="00CB48C0">
        <w:rPr>
          <w:rFonts w:ascii="宋体" w:eastAsia="宋体" w:hAnsi="宋体" w:cs="Times New Roman" w:hint="eastAsia"/>
          <w:kern w:val="0"/>
          <w:szCs w:val="21"/>
        </w:rPr>
        <w:t>一经查实即予以警告；情节严重的，取消委员资格，触犯法律的依法移送司法机关追究法律责任。</w:t>
      </w:r>
    </w:p>
    <w:p w14:paraId="197E7FFD" w14:textId="6EBF253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Times New Roman" w:hint="eastAsia"/>
          <w:kern w:val="0"/>
          <w:szCs w:val="21"/>
        </w:rPr>
        <w:t>第十三条</w:t>
      </w:r>
      <w:r w:rsidRPr="00CB48C0">
        <w:rPr>
          <w:rFonts w:ascii="宋体" w:eastAsia="宋体" w:hAnsi="宋体" w:cs="Times New Roman"/>
          <w:kern w:val="0"/>
          <w:szCs w:val="21"/>
        </w:rPr>
        <w:t xml:space="preserve">  </w:t>
      </w:r>
      <w:r w:rsidRPr="00CB48C0">
        <w:rPr>
          <w:rFonts w:ascii="宋体" w:eastAsia="宋体" w:hAnsi="宋体" w:cs="Times New Roman" w:hint="eastAsia"/>
          <w:kern w:val="0"/>
          <w:szCs w:val="21"/>
        </w:rPr>
        <w:t>伦理委员会委员需定期参加</w:t>
      </w:r>
      <w:r w:rsidRPr="00CB48C0">
        <w:rPr>
          <w:rFonts w:ascii="宋体" w:eastAsia="宋体" w:hAnsi="宋体" w:cs="Times New Roman"/>
          <w:kern w:val="0"/>
          <w:szCs w:val="21"/>
        </w:rPr>
        <w:t>GCP</w:t>
      </w:r>
      <w:r w:rsidR="00ED0CE3">
        <w:rPr>
          <w:rFonts w:ascii="宋体" w:eastAsia="宋体" w:hAnsi="宋体" w:cs="Times New Roman" w:hint="eastAsia"/>
          <w:kern w:val="0"/>
          <w:szCs w:val="21"/>
        </w:rPr>
        <w:t>或伦理审查的</w:t>
      </w:r>
      <w:r w:rsidRPr="00CB48C0">
        <w:rPr>
          <w:rFonts w:ascii="宋体" w:eastAsia="宋体" w:hAnsi="宋体" w:cs="Times New Roman" w:hint="eastAsia"/>
          <w:kern w:val="0"/>
          <w:szCs w:val="21"/>
        </w:rPr>
        <w:t>相关培训，新</w:t>
      </w:r>
      <w:r w:rsidRPr="00CB48C0">
        <w:rPr>
          <w:rFonts w:ascii="宋体" w:eastAsia="宋体" w:hAnsi="宋体" w:cs="宋体" w:hint="eastAsia"/>
          <w:kern w:val="0"/>
          <w:szCs w:val="21"/>
        </w:rPr>
        <w:t>进委员在任命半年后仍未取得培训合格证书、委员连续三次无故不参加伦理审查会议或相关工作、培训的，劝其辞去委员身份，同时启动“替换”程序，增补相同职位委员，报中心备案。</w:t>
      </w:r>
    </w:p>
    <w:p w14:paraId="2500D884"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lastRenderedPageBreak/>
        <w:t>第十四条  严格执行廉政相关规定，除可按规定接收审查费用外，不得超出规定接收申办者或研究者个人的任何额外费用。一经发现，除追缴其所得外，立即取消委员资格，提请中心按有关廉政纪律规定予以处分。</w:t>
      </w:r>
    </w:p>
    <w:p w14:paraId="2C7EFDFF" w14:textId="77777777" w:rsidR="00CB48C0" w:rsidRPr="00CB48C0" w:rsidRDefault="00CB48C0" w:rsidP="00CB48C0">
      <w:pPr>
        <w:autoSpaceDE w:val="0"/>
        <w:autoSpaceDN w:val="0"/>
        <w:adjustRightInd w:val="0"/>
        <w:jc w:val="center"/>
        <w:rPr>
          <w:rFonts w:ascii="宋体" w:eastAsia="宋体" w:hAnsi="宋体" w:cs="宋体"/>
          <w:b/>
          <w:kern w:val="0"/>
          <w:szCs w:val="21"/>
        </w:rPr>
      </w:pPr>
      <w:r w:rsidRPr="00CB48C0">
        <w:rPr>
          <w:rFonts w:ascii="宋体" w:eastAsia="宋体" w:hAnsi="宋体" w:cs="宋体" w:hint="eastAsia"/>
          <w:b/>
          <w:kern w:val="0"/>
          <w:szCs w:val="21"/>
        </w:rPr>
        <w:t>第五章  审查</w:t>
      </w:r>
    </w:p>
    <w:p w14:paraId="1EE2E266"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第十五条  工作程序</w:t>
      </w:r>
    </w:p>
    <w:p w14:paraId="011436D4"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（一）伦理委员会办公室原则上每月</w:t>
      </w:r>
      <w:r w:rsidRPr="00CB48C0">
        <w:rPr>
          <w:rFonts w:ascii="宋体" w:eastAsia="宋体" w:hAnsi="宋体" w:cs="宋体"/>
          <w:kern w:val="0"/>
          <w:szCs w:val="21"/>
        </w:rPr>
        <w:t>15</w:t>
      </w:r>
      <w:r w:rsidRPr="00CB48C0">
        <w:rPr>
          <w:rFonts w:ascii="宋体" w:eastAsia="宋体" w:hAnsi="宋体" w:cs="宋体" w:hint="eastAsia"/>
          <w:kern w:val="0"/>
          <w:szCs w:val="21"/>
        </w:rPr>
        <w:t>日前接受项目负责人递交的伦理审查资料，伦理审查会议原则上每月下旬举行一次；</w:t>
      </w:r>
    </w:p>
    <w:p w14:paraId="7F881956"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（二）申请人（申办者和/或主要研究者）填写伦理委员会相关申请表格，并提交研究方案、知情同意书等必要的支持文件或附件；</w:t>
      </w:r>
    </w:p>
    <w:p w14:paraId="2340EC89"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（三）委员会办公室接收申请材料并进行形式审查；</w:t>
      </w:r>
    </w:p>
    <w:p w14:paraId="0CBEFF31"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（四）主任委员确定审查方式并选择主审委员，委员会秘书在评审前至少</w:t>
      </w:r>
      <w:r w:rsidRPr="00CB48C0">
        <w:rPr>
          <w:rFonts w:ascii="宋体" w:eastAsia="宋体" w:hAnsi="宋体" w:cs="宋体"/>
          <w:kern w:val="0"/>
          <w:szCs w:val="21"/>
        </w:rPr>
        <w:t>5</w:t>
      </w:r>
      <w:r w:rsidRPr="00CB48C0">
        <w:rPr>
          <w:rFonts w:ascii="宋体" w:eastAsia="宋体" w:hAnsi="宋体" w:cs="宋体" w:hint="eastAsia"/>
          <w:kern w:val="0"/>
          <w:szCs w:val="21"/>
        </w:rPr>
        <w:t>个工作日将审查资料送达主审委员进行预审。预审时可针对提交资料中存在的疑问或没有理解的问题与申请人沟通；</w:t>
      </w:r>
    </w:p>
    <w:p w14:paraId="1650AFDA" w14:textId="33E4978E"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（五）主任委员或受委托的副主任委员主持会议，</w:t>
      </w:r>
      <w:r w:rsidRPr="00CB48C0">
        <w:rPr>
          <w:rFonts w:ascii="宋体" w:eastAsia="宋体" w:hAnsi="宋体" w:cs="宋体" w:hint="eastAsia"/>
          <w:iCs/>
          <w:kern w:val="0"/>
          <w:szCs w:val="21"/>
        </w:rPr>
        <w:t>到会委员人数应超过全体正式委员人数的二分之一且不少于</w:t>
      </w:r>
      <w:r w:rsidR="00A6784A">
        <w:rPr>
          <w:rFonts w:ascii="宋体" w:eastAsia="宋体" w:hAnsi="宋体" w:cs="Times New Roman"/>
          <w:iCs/>
          <w:kern w:val="0"/>
          <w:szCs w:val="21"/>
        </w:rPr>
        <w:t>9</w:t>
      </w:r>
      <w:r w:rsidRPr="00CB48C0">
        <w:rPr>
          <w:rFonts w:ascii="宋体" w:eastAsia="宋体" w:hAnsi="宋体" w:cs="宋体" w:hint="eastAsia"/>
          <w:iCs/>
          <w:kern w:val="0"/>
          <w:szCs w:val="21"/>
        </w:rPr>
        <w:t>人时方可召开会议，伦理审查会议参会委员应包括医药相关专业人员、非医药专业人员、法律专家，以及独立于研究</w:t>
      </w:r>
      <w:r w:rsidRPr="00CB48C0">
        <w:rPr>
          <w:rFonts w:ascii="宋体" w:eastAsia="宋体" w:hAnsi="宋体" w:cs="宋体"/>
          <w:iCs/>
          <w:kern w:val="0"/>
          <w:szCs w:val="21"/>
        </w:rPr>
        <w:t>/</w:t>
      </w:r>
      <w:r w:rsidRPr="00CB48C0">
        <w:rPr>
          <w:rFonts w:ascii="宋体" w:eastAsia="宋体" w:hAnsi="宋体" w:cs="宋体" w:hint="eastAsia"/>
          <w:iCs/>
          <w:kern w:val="0"/>
          <w:szCs w:val="21"/>
        </w:rPr>
        <w:t>试验单位之外的人员等类别。</w:t>
      </w:r>
      <w:r w:rsidRPr="00CB48C0">
        <w:rPr>
          <w:rFonts w:ascii="宋体" w:eastAsia="宋体" w:hAnsi="宋体" w:cs="宋体" w:hint="eastAsia"/>
          <w:kern w:val="0"/>
          <w:szCs w:val="21"/>
        </w:rPr>
        <w:t>审查、讨论后进行表决，并形成会议</w:t>
      </w:r>
      <w:r w:rsidR="00A6784A">
        <w:rPr>
          <w:rFonts w:ascii="宋体" w:eastAsia="宋体" w:hAnsi="宋体" w:cs="宋体" w:hint="eastAsia"/>
          <w:kern w:val="0"/>
          <w:szCs w:val="21"/>
        </w:rPr>
        <w:t>记录</w:t>
      </w:r>
      <w:r w:rsidRPr="00CB48C0">
        <w:rPr>
          <w:rFonts w:ascii="宋体" w:eastAsia="宋体" w:hAnsi="宋体" w:cs="宋体" w:hint="eastAsia"/>
          <w:kern w:val="0"/>
          <w:szCs w:val="21"/>
        </w:rPr>
        <w:t>和最终审查批件（意见）；</w:t>
      </w:r>
    </w:p>
    <w:p w14:paraId="307708C0"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（六）主任委员或受委托的副主任委员签署审查批件（意见）；</w:t>
      </w:r>
    </w:p>
    <w:p w14:paraId="61977D52"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（七）依据审查批件（意见）规定的跟踪审查频率对项目实施跟踪审查；</w:t>
      </w:r>
    </w:p>
    <w:p w14:paraId="0BAFAF40"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（八）临床试验结束后，主要研究者应报告伦理委员会。委员会对此项目中所涉及的伦理问题的执行情况做出最终评定。</w:t>
      </w:r>
    </w:p>
    <w:p w14:paraId="6DE2D269"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（九）资料归档，用于申请药品注册的临床试验，必备文件应当至少保存至试验药物被批准上市后5年；未用于申请药品注册的临床试验，必备文件应当至少保存至临床试验终止后5年。</w:t>
      </w:r>
    </w:p>
    <w:p w14:paraId="31AEEDC6"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第十六条  申请人向伦理委员会提供的审查资料，包括（但不限于下述文件内容，重要材料均应注明版本号和版本日期）：</w:t>
      </w:r>
    </w:p>
    <w:p w14:paraId="1EE48080"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（一）伦理审查申请表；</w:t>
      </w:r>
    </w:p>
    <w:p w14:paraId="3F22717C"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（二）研究方案及支持性文件；</w:t>
      </w:r>
    </w:p>
    <w:p w14:paraId="27688AB9"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（三）知情同意书样本；</w:t>
      </w:r>
    </w:p>
    <w:p w14:paraId="709EAB87"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（四）招募受试者的相关材料；</w:t>
      </w:r>
    </w:p>
    <w:p w14:paraId="12274F75"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（五）研究者手册；</w:t>
      </w:r>
    </w:p>
    <w:p w14:paraId="09200743"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（六）主要研究者履历及研究团队资质情况；</w:t>
      </w:r>
    </w:p>
    <w:p w14:paraId="2CC33AF5"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（七）临床试验批件；</w:t>
      </w:r>
    </w:p>
    <w:p w14:paraId="58B98386" w14:textId="77777777" w:rsidR="00CB48C0" w:rsidRPr="00CB48C0" w:rsidRDefault="00CB48C0" w:rsidP="00CB48C0">
      <w:pPr>
        <w:rPr>
          <w:rFonts w:ascii="宋体" w:eastAsia="宋体" w:hAnsi="宋体"/>
          <w:szCs w:val="21"/>
        </w:rPr>
      </w:pPr>
      <w:r w:rsidRPr="00CB48C0">
        <w:rPr>
          <w:rFonts w:ascii="宋体" w:eastAsia="宋体" w:hAnsi="宋体" w:cs="宋体" w:hint="eastAsia"/>
          <w:kern w:val="0"/>
          <w:szCs w:val="21"/>
        </w:rPr>
        <w:t>（八）其他相关材料。</w:t>
      </w:r>
    </w:p>
    <w:p w14:paraId="5FF78032"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第十七条  伦理审查要点：</w:t>
      </w:r>
    </w:p>
    <w:p w14:paraId="34FDFA2C" w14:textId="777B65F1"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（一）研究者的资格、经历、经验是否符合要求。</w:t>
      </w:r>
    </w:p>
    <w:p w14:paraId="0E733511"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（二）研究方案是否遵从普遍接受的科学、伦理、道德原则；临床试验项目是否进行了充分的实验室工作和相关性试验；是否对新方法的可能价值、存在的危险和出现的不适与现有的最佳方法进行了比较。</w:t>
      </w:r>
    </w:p>
    <w:p w14:paraId="74C780CC"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三）受试者可能的预期风险和利益是否已有充分的评估。只有在试验目的的重要性与受试者的内在风险性相称时，生物医学研究才能合法地在人体中进行。临床试验项目是否已确定在什么情况下必须终止试验，以保护受试者不受严重损害，并提出如果出现损害如何补救以及相应的保险措施。</w:t>
      </w:r>
    </w:p>
    <w:p w14:paraId="24A51815"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（四）是否遵守医学伦理学原则，受试者是否得到充分的知情权。</w:t>
      </w:r>
    </w:p>
    <w:p w14:paraId="6C99AEC6"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（五）临床试验项目考虑研究人员与项目研究之间的利益冲突，必要时采取限制性措施，如：不允许在申办者处拥有净资产的人员担任主要研究者；不允许有重大经济利益冲突的研究者</w:t>
      </w:r>
      <w:r w:rsidRPr="00CB48C0">
        <w:rPr>
          <w:rFonts w:ascii="宋体" w:eastAsia="宋体" w:hAnsi="宋体" w:cs="宋体" w:hint="eastAsia"/>
          <w:kern w:val="0"/>
          <w:szCs w:val="21"/>
        </w:rPr>
        <w:lastRenderedPageBreak/>
        <w:t>招募受试者和获取知情同意；禁止研究者私下收受申办者的馈赠；满负荷或超负荷工作的研究者，限制其参加研究或限制研究者的其他工作量，以保证其有充分的时间和精力参与研究。</w:t>
      </w:r>
    </w:p>
    <w:p w14:paraId="5ED2D744" w14:textId="7A69BE4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第十八条  伦理委员会根据具体情况采取会议审查、紧急会议</w:t>
      </w:r>
      <w:r w:rsidR="00ED0CE3">
        <w:rPr>
          <w:rFonts w:ascii="宋体" w:eastAsia="宋体" w:hAnsi="宋体" w:cs="宋体" w:hint="eastAsia"/>
          <w:kern w:val="0"/>
          <w:szCs w:val="21"/>
        </w:rPr>
        <w:t>审查或快速审查的形式，对提交的项目做出“同意”、“修改后同意”</w:t>
      </w:r>
      <w:r w:rsidRPr="00CB48C0">
        <w:rPr>
          <w:rFonts w:ascii="宋体" w:eastAsia="宋体" w:hAnsi="宋体" w:cs="宋体" w:hint="eastAsia"/>
          <w:kern w:val="0"/>
          <w:szCs w:val="21"/>
        </w:rPr>
        <w:t>、“不同意”或“终止/暂停已批准的研究”的审查意见。伦理审查批件1年内有效，超出1年尚未开展的项目需要重新进行审查。</w:t>
      </w:r>
    </w:p>
    <w:p w14:paraId="599936ED"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第十九条  伦理委员会对审查意见以投票方式做出最终决定。</w:t>
      </w:r>
      <w:r w:rsidRPr="00CB48C0">
        <w:rPr>
          <w:rFonts w:ascii="宋体" w:eastAsia="宋体" w:hAnsi="宋体" w:cs="宋体" w:hint="eastAsia"/>
          <w:iCs/>
          <w:kern w:val="0"/>
          <w:szCs w:val="21"/>
        </w:rPr>
        <w:t>审查意见</w:t>
      </w:r>
      <w:r w:rsidRPr="00CB48C0">
        <w:rPr>
          <w:rFonts w:ascii="宋体" w:eastAsia="宋体" w:hAnsi="宋体" w:cs="宋体" w:hint="eastAsia"/>
          <w:kern w:val="0"/>
          <w:szCs w:val="21"/>
        </w:rPr>
        <w:t>由委员会主任委员或受委托的副主任委员签发。对项目作出不同意决定应有明确的理由和依据。</w:t>
      </w:r>
    </w:p>
    <w:p w14:paraId="65DCF92A"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第二十条  经伦理委员会审查同意的方案方可实施。</w:t>
      </w:r>
    </w:p>
    <w:p w14:paraId="694F9CA4"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第二十一条  申请人对临床试验项目研究方案、知情同意书等伦理审查批准的文件作出修改，均应以书面形式向伦理委员会提出复审申请，经批准后方可实施。为了避免对受试者造成紧急伤害而修改的临床试验方案，研究者可以在提交伦理委员会审查批准前实施，事后及时向委员会作书面报告。</w:t>
      </w:r>
      <w:bookmarkStart w:id="1" w:name="_GoBack"/>
      <w:bookmarkEnd w:id="1"/>
    </w:p>
    <w:p w14:paraId="2E393E5C"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第二十二条  伦理委员会对批准的临床试验项目，进行跟踪审查，审查频度在初始审查时根据试验风险和研究周期决定，每年至少一次，直至研究结束。</w:t>
      </w:r>
    </w:p>
    <w:p w14:paraId="651A0FC9"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第二十三条  出现下列情况需对研究进行后续审查：</w:t>
      </w:r>
    </w:p>
    <w:p w14:paraId="33DC6CFC"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（一）受试者的权利、安全和利益受到影响，或者实施中的研究方案受到影响；</w:t>
      </w:r>
    </w:p>
    <w:p w14:paraId="2A4DC6A8"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（二）研究人员、申办者及法规部门对研究项目或产品未预料到的严重不良事件做出的处理和补救措施；</w:t>
      </w:r>
    </w:p>
    <w:p w14:paraId="04CADCF9"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（三）出现任何可能影响研究的利益</w:t>
      </w:r>
      <w:r w:rsidRPr="00CB48C0">
        <w:rPr>
          <w:rFonts w:ascii="宋体" w:eastAsia="宋体" w:hAnsi="宋体" w:cs="宋体"/>
          <w:kern w:val="0"/>
          <w:szCs w:val="21"/>
        </w:rPr>
        <w:t>/</w:t>
      </w:r>
      <w:r w:rsidRPr="00CB48C0">
        <w:rPr>
          <w:rFonts w:ascii="宋体" w:eastAsia="宋体" w:hAnsi="宋体" w:cs="宋体" w:hint="eastAsia"/>
          <w:kern w:val="0"/>
          <w:szCs w:val="21"/>
        </w:rPr>
        <w:t>危险的新情况；</w:t>
      </w:r>
    </w:p>
    <w:p w14:paraId="758BE9F0"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（四）快速审查结论为否定性意见或两名委员意见不一致。</w:t>
      </w:r>
    </w:p>
    <w:p w14:paraId="139A7FD8"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第二十四条  研究项目暂停或提前终止，主要研究者应当向伦理委员会报告暂停或终止的理由，并向伦理委员会提交研究总结报告。</w:t>
      </w:r>
    </w:p>
    <w:p w14:paraId="29274B6D"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第二十五条  审查会议结束后的</w:t>
      </w:r>
      <w:r w:rsidRPr="00CB48C0">
        <w:rPr>
          <w:rFonts w:ascii="宋体" w:eastAsia="宋体" w:hAnsi="宋体" w:cs="Times New Roman"/>
          <w:kern w:val="0"/>
          <w:szCs w:val="21"/>
        </w:rPr>
        <w:t>5</w:t>
      </w:r>
      <w:r w:rsidRPr="00CB48C0">
        <w:rPr>
          <w:rFonts w:ascii="宋体" w:eastAsia="宋体" w:hAnsi="宋体" w:cs="宋体" w:hint="eastAsia"/>
          <w:kern w:val="0"/>
          <w:szCs w:val="21"/>
        </w:rPr>
        <w:t>个工作日内，委员会办公室将审查批件(意见)以书面形式传达给申请人。</w:t>
      </w:r>
    </w:p>
    <w:p w14:paraId="638552C9" w14:textId="7777777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第二十六条  协作：伦理委员会和中心所有与受试者保护相关的部门协同工作，明确各自在伦理审查和研究监管中的职责，保证中心承担的以及在中心内实施的所有涉及人的临床试验项目都提交伦理审查，保证所有涉及人的临床试验项目受试者的健康和权益得到保护；最大限度的减少或消除开展研究中所涉及的中心财政利益冲突、研究人员的个人经济利益冲突；有效的报告和处理违背法规与方案的情况；建立与受试者有效的沟通渠道，对受试者所关心的问题做出回应。建立与其它伦理审查委员会有效的沟通交流机制，协助完成多中心研究的伦理审查。</w:t>
      </w:r>
    </w:p>
    <w:p w14:paraId="0CC5E016" w14:textId="589557D7"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第二十七条  质量管理：接受卫生行政部门、药品监督管理部门的监督管理；接受独立的、外部的质量评估或认证。对检查发现的问题采取相应的改进措施。</w:t>
      </w:r>
    </w:p>
    <w:p w14:paraId="1E325129" w14:textId="77777777" w:rsidR="00CB48C0" w:rsidRPr="00CB48C0" w:rsidRDefault="00CB48C0" w:rsidP="00CB48C0">
      <w:pPr>
        <w:autoSpaceDE w:val="0"/>
        <w:autoSpaceDN w:val="0"/>
        <w:adjustRightInd w:val="0"/>
        <w:jc w:val="center"/>
        <w:rPr>
          <w:rFonts w:ascii="宋体" w:eastAsia="宋体" w:hAnsi="宋体" w:cs="宋体"/>
          <w:b/>
          <w:kern w:val="0"/>
          <w:szCs w:val="21"/>
        </w:rPr>
      </w:pPr>
      <w:r w:rsidRPr="00CB48C0">
        <w:rPr>
          <w:rFonts w:ascii="宋体" w:eastAsia="宋体" w:hAnsi="宋体" w:cs="宋体" w:hint="eastAsia"/>
          <w:b/>
          <w:kern w:val="0"/>
          <w:szCs w:val="21"/>
        </w:rPr>
        <w:t>第六章  附则</w:t>
      </w:r>
    </w:p>
    <w:p w14:paraId="0B6048F8" w14:textId="53C0E340" w:rsidR="00CB48C0" w:rsidRPr="00CB48C0" w:rsidRDefault="00CB48C0" w:rsidP="00CB48C0">
      <w:pPr>
        <w:autoSpaceDE w:val="0"/>
        <w:autoSpaceDN w:val="0"/>
        <w:adjustRightInd w:val="0"/>
        <w:jc w:val="left"/>
        <w:rPr>
          <w:rFonts w:ascii="宋体" w:eastAsia="宋体" w:hAnsi="宋体" w:cs="宋体"/>
          <w:kern w:val="0"/>
          <w:szCs w:val="21"/>
        </w:rPr>
      </w:pPr>
      <w:r w:rsidRPr="00CB48C0">
        <w:rPr>
          <w:rFonts w:ascii="宋体" w:eastAsia="宋体" w:hAnsi="宋体" w:cs="宋体" w:hint="eastAsia"/>
          <w:kern w:val="0"/>
          <w:szCs w:val="21"/>
        </w:rPr>
        <w:t>第二十八条  本章程由湖南省疾病预防控制中心伦理委员会起草,报国家药品监督管理局</w:t>
      </w:r>
      <w:r w:rsidR="00ED0CE3">
        <w:rPr>
          <w:rFonts w:ascii="宋体" w:eastAsia="宋体" w:hAnsi="宋体" w:cs="宋体" w:hint="eastAsia"/>
          <w:kern w:val="0"/>
          <w:szCs w:val="21"/>
        </w:rPr>
        <w:t>、</w:t>
      </w:r>
      <w:r w:rsidRPr="00CB48C0">
        <w:rPr>
          <w:rFonts w:ascii="宋体" w:eastAsia="宋体" w:hAnsi="宋体" w:cs="宋体" w:hint="eastAsia"/>
          <w:kern w:val="0"/>
          <w:szCs w:val="21"/>
        </w:rPr>
        <w:t>湖南省药品监督管理局</w:t>
      </w:r>
      <w:r w:rsidR="00ED0CE3">
        <w:rPr>
          <w:rFonts w:ascii="宋体" w:eastAsia="宋体" w:hAnsi="宋体" w:cs="宋体" w:hint="eastAsia"/>
          <w:kern w:val="0"/>
          <w:szCs w:val="21"/>
        </w:rPr>
        <w:t>和湖南省卫健委</w:t>
      </w:r>
      <w:r w:rsidRPr="00CB48C0">
        <w:rPr>
          <w:rFonts w:ascii="宋体" w:eastAsia="宋体" w:hAnsi="宋体" w:cs="宋体" w:hint="eastAsia"/>
          <w:kern w:val="0"/>
          <w:szCs w:val="21"/>
        </w:rPr>
        <w:t>备案。</w:t>
      </w:r>
    </w:p>
    <w:p w14:paraId="7E8C8FEE" w14:textId="23A6CBB9" w:rsidR="00B2116A" w:rsidRPr="00CB48C0" w:rsidRDefault="00CB48C0" w:rsidP="00CB48C0">
      <w:pPr>
        <w:autoSpaceDE w:val="0"/>
        <w:autoSpaceDN w:val="0"/>
        <w:adjustRightInd w:val="0"/>
        <w:jc w:val="left"/>
        <w:rPr>
          <w:szCs w:val="21"/>
        </w:rPr>
      </w:pPr>
      <w:r w:rsidRPr="00CB48C0">
        <w:rPr>
          <w:rFonts w:ascii="宋体" w:eastAsia="宋体" w:hAnsi="宋体" w:cs="宋体" w:hint="eastAsia"/>
          <w:kern w:val="0"/>
          <w:szCs w:val="21"/>
        </w:rPr>
        <w:t>第二十九条  本章程自</w:t>
      </w:r>
      <w:r w:rsidRPr="00CB48C0">
        <w:rPr>
          <w:rFonts w:ascii="宋体" w:eastAsia="宋体" w:hAnsi="宋体" w:cs="宋体" w:hint="eastAsia"/>
          <w:kern w:val="0"/>
          <w:szCs w:val="21"/>
          <w:u w:val="single"/>
        </w:rPr>
        <w:t xml:space="preserve"> </w:t>
      </w:r>
      <w:r w:rsidR="005C153F">
        <w:rPr>
          <w:rFonts w:ascii="宋体" w:eastAsia="宋体" w:hAnsi="宋体" w:cs="宋体"/>
          <w:kern w:val="0"/>
          <w:szCs w:val="21"/>
          <w:u w:val="single"/>
        </w:rPr>
        <w:t xml:space="preserve">    </w:t>
      </w:r>
      <w:r w:rsidRPr="00CB48C0">
        <w:rPr>
          <w:rFonts w:ascii="宋体" w:eastAsia="宋体" w:hAnsi="宋体" w:cs="宋体" w:hint="eastAsia"/>
          <w:kern w:val="0"/>
          <w:szCs w:val="21"/>
          <w:u w:val="single"/>
        </w:rPr>
        <w:t xml:space="preserve"> </w:t>
      </w:r>
      <w:r w:rsidRPr="00CB48C0">
        <w:rPr>
          <w:rFonts w:ascii="宋体" w:eastAsia="宋体" w:hAnsi="宋体" w:cs="宋体" w:hint="eastAsia"/>
          <w:kern w:val="0"/>
          <w:szCs w:val="21"/>
        </w:rPr>
        <w:t>年</w:t>
      </w:r>
      <w:r w:rsidRPr="00CB48C0">
        <w:rPr>
          <w:rFonts w:ascii="宋体" w:eastAsia="宋体" w:hAnsi="宋体" w:cs="宋体" w:hint="eastAsia"/>
          <w:kern w:val="0"/>
          <w:szCs w:val="21"/>
          <w:u w:val="single"/>
        </w:rPr>
        <w:t xml:space="preserve"> </w:t>
      </w:r>
      <w:r w:rsidR="005C153F">
        <w:rPr>
          <w:rFonts w:ascii="宋体" w:eastAsia="宋体" w:hAnsi="宋体" w:cs="宋体"/>
          <w:kern w:val="0"/>
          <w:szCs w:val="21"/>
          <w:u w:val="single"/>
        </w:rPr>
        <w:t xml:space="preserve">  </w:t>
      </w:r>
      <w:r w:rsidRPr="00CB48C0">
        <w:rPr>
          <w:rFonts w:ascii="宋体" w:eastAsia="宋体" w:hAnsi="宋体" w:cs="宋体" w:hint="eastAsia"/>
          <w:kern w:val="0"/>
          <w:szCs w:val="21"/>
          <w:u w:val="single"/>
        </w:rPr>
        <w:t xml:space="preserve"> </w:t>
      </w:r>
      <w:r w:rsidRPr="00CB48C0">
        <w:rPr>
          <w:rFonts w:ascii="宋体" w:eastAsia="宋体" w:hAnsi="宋体" w:cs="宋体" w:hint="eastAsia"/>
          <w:kern w:val="0"/>
          <w:szCs w:val="21"/>
        </w:rPr>
        <w:t>月</w:t>
      </w:r>
      <w:r w:rsidRPr="00CB48C0">
        <w:rPr>
          <w:rFonts w:ascii="宋体" w:eastAsia="宋体" w:hAnsi="宋体" w:cs="宋体" w:hint="eastAsia"/>
          <w:kern w:val="0"/>
          <w:szCs w:val="21"/>
          <w:u w:val="single"/>
        </w:rPr>
        <w:t xml:space="preserve"> </w:t>
      </w:r>
      <w:r w:rsidR="005C153F">
        <w:rPr>
          <w:rFonts w:ascii="宋体" w:eastAsia="宋体" w:hAnsi="宋体" w:cs="宋体"/>
          <w:kern w:val="0"/>
          <w:szCs w:val="21"/>
          <w:u w:val="single"/>
        </w:rPr>
        <w:t xml:space="preserve">  </w:t>
      </w:r>
      <w:r w:rsidRPr="00CB48C0">
        <w:rPr>
          <w:rFonts w:ascii="宋体" w:eastAsia="宋体" w:hAnsi="宋体" w:cs="宋体" w:hint="eastAsia"/>
          <w:kern w:val="0"/>
          <w:szCs w:val="21"/>
          <w:u w:val="single"/>
        </w:rPr>
        <w:t xml:space="preserve"> </w:t>
      </w:r>
      <w:r w:rsidRPr="00CB48C0">
        <w:rPr>
          <w:rFonts w:ascii="宋体" w:eastAsia="宋体" w:hAnsi="宋体" w:cs="宋体" w:hint="eastAsia"/>
          <w:kern w:val="0"/>
          <w:szCs w:val="21"/>
        </w:rPr>
        <w:t>日起生效，</w:t>
      </w:r>
      <w:r w:rsidRPr="00CB48C0">
        <w:rPr>
          <w:rFonts w:ascii="宋体" w:eastAsia="宋体" w:hAnsi="宋体" w:cs="宋体" w:hint="eastAsia"/>
          <w:kern w:val="0"/>
          <w:szCs w:val="21"/>
          <w:u w:val="single"/>
        </w:rPr>
        <w:t xml:space="preserve"> </w:t>
      </w:r>
      <w:r w:rsidR="005C153F">
        <w:rPr>
          <w:rFonts w:ascii="宋体" w:eastAsia="宋体" w:hAnsi="宋体" w:cs="宋体"/>
          <w:kern w:val="0"/>
          <w:szCs w:val="21"/>
          <w:u w:val="single"/>
        </w:rPr>
        <w:t xml:space="preserve">   </w:t>
      </w:r>
      <w:r w:rsidRPr="00CB48C0">
        <w:rPr>
          <w:rFonts w:ascii="宋体" w:eastAsia="宋体" w:hAnsi="宋体" w:cs="宋体" w:hint="eastAsia"/>
          <w:kern w:val="0"/>
          <w:szCs w:val="21"/>
          <w:u w:val="single"/>
        </w:rPr>
        <w:t xml:space="preserve"> </w:t>
      </w:r>
      <w:r w:rsidRPr="00CB48C0">
        <w:rPr>
          <w:rFonts w:ascii="宋体" w:eastAsia="宋体" w:hAnsi="宋体" w:cs="宋体" w:hint="eastAsia"/>
          <w:kern w:val="0"/>
          <w:szCs w:val="21"/>
        </w:rPr>
        <w:t>年</w:t>
      </w:r>
      <w:r w:rsidRPr="00CB48C0">
        <w:rPr>
          <w:rFonts w:ascii="宋体" w:eastAsia="宋体" w:hAnsi="宋体" w:cs="宋体" w:hint="eastAsia"/>
          <w:kern w:val="0"/>
          <w:szCs w:val="21"/>
          <w:u w:val="single"/>
        </w:rPr>
        <w:t xml:space="preserve"> </w:t>
      </w:r>
      <w:r w:rsidR="005C153F">
        <w:rPr>
          <w:rFonts w:ascii="宋体" w:eastAsia="宋体" w:hAnsi="宋体" w:cs="宋体"/>
          <w:kern w:val="0"/>
          <w:szCs w:val="21"/>
          <w:u w:val="single"/>
        </w:rPr>
        <w:t xml:space="preserve">  </w:t>
      </w:r>
      <w:r w:rsidRPr="00CB48C0">
        <w:rPr>
          <w:rFonts w:ascii="宋体" w:eastAsia="宋体" w:hAnsi="宋体" w:cs="宋体" w:hint="eastAsia"/>
          <w:kern w:val="0"/>
          <w:szCs w:val="21"/>
          <w:u w:val="single"/>
        </w:rPr>
        <w:t xml:space="preserve"> </w:t>
      </w:r>
      <w:r w:rsidRPr="00CB48C0">
        <w:rPr>
          <w:rFonts w:ascii="宋体" w:eastAsia="宋体" w:hAnsi="宋体" w:cs="宋体" w:hint="eastAsia"/>
          <w:kern w:val="0"/>
          <w:szCs w:val="21"/>
        </w:rPr>
        <w:t>月</w:t>
      </w:r>
      <w:r w:rsidRPr="00CB48C0">
        <w:rPr>
          <w:rFonts w:ascii="宋体" w:eastAsia="宋体" w:hAnsi="宋体" w:cs="宋体" w:hint="eastAsia"/>
          <w:kern w:val="0"/>
          <w:szCs w:val="21"/>
          <w:u w:val="single"/>
        </w:rPr>
        <w:t xml:space="preserve"> </w:t>
      </w:r>
      <w:r w:rsidR="005C153F">
        <w:rPr>
          <w:rFonts w:ascii="宋体" w:eastAsia="宋体" w:hAnsi="宋体" w:cs="宋体"/>
          <w:kern w:val="0"/>
          <w:szCs w:val="21"/>
          <w:u w:val="single"/>
        </w:rPr>
        <w:t xml:space="preserve"> </w:t>
      </w:r>
      <w:r w:rsidRPr="00CB48C0">
        <w:rPr>
          <w:rFonts w:ascii="宋体" w:eastAsia="宋体" w:hAnsi="宋体" w:cs="宋体" w:hint="eastAsia"/>
          <w:kern w:val="0"/>
          <w:szCs w:val="21"/>
          <w:u w:val="single"/>
        </w:rPr>
        <w:t xml:space="preserve"> </w:t>
      </w:r>
      <w:r w:rsidRPr="00CB48C0">
        <w:rPr>
          <w:rFonts w:ascii="宋体" w:eastAsia="宋体" w:hAnsi="宋体" w:cs="宋体" w:hint="eastAsia"/>
          <w:kern w:val="0"/>
          <w:szCs w:val="21"/>
        </w:rPr>
        <w:t>日开始实施。</w:t>
      </w:r>
    </w:p>
    <w:sectPr w:rsidR="00B2116A" w:rsidRPr="00CB48C0">
      <w:headerReference w:type="default" r:id="rId8"/>
      <w:footerReference w:type="default" r:id="rId9"/>
      <w:pgSz w:w="11906" w:h="16838"/>
      <w:pgMar w:top="1440" w:right="1800" w:bottom="898" w:left="1800"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ED62F" w14:textId="77777777" w:rsidR="005E1968" w:rsidRDefault="005E1968">
      <w:r>
        <w:separator/>
      </w:r>
    </w:p>
  </w:endnote>
  <w:endnote w:type="continuationSeparator" w:id="0">
    <w:p w14:paraId="40449243" w14:textId="77777777" w:rsidR="005E1968" w:rsidRDefault="005E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3840" w14:textId="77777777" w:rsidR="00B2116A" w:rsidRDefault="005C1901">
    <w:pPr>
      <w:pStyle w:val="a5"/>
    </w:pPr>
    <w:r>
      <w:pict w14:anchorId="14D72997">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04CEAA35" w14:textId="158E7557" w:rsidR="00B2116A" w:rsidRDefault="00AC0AFE">
                <w:pPr>
                  <w:pStyle w:val="a5"/>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5C1901">
                  <w:rPr>
                    <w:rFonts w:ascii="宋体" w:eastAsia="宋体" w:hAnsi="宋体" w:cs="宋体"/>
                    <w:noProof/>
                    <w:sz w:val="24"/>
                    <w:szCs w:val="24"/>
                  </w:rPr>
                  <w:t>2</w:t>
                </w:r>
                <w:r>
                  <w:rPr>
                    <w:rFonts w:ascii="宋体" w:eastAsia="宋体" w:hAnsi="宋体" w:cs="宋体" w:hint="eastAsia"/>
                    <w:sz w:val="24"/>
                    <w:szCs w:val="24"/>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05F0" w14:textId="77777777" w:rsidR="00394F1D" w:rsidRDefault="005C1901">
    <w:pPr>
      <w:tabs>
        <w:tab w:val="center" w:pos="4153"/>
        <w:tab w:val="right" w:pos="8306"/>
      </w:tabs>
      <w:snapToGrid w:val="0"/>
      <w:jc w:val="center"/>
      <w:rPr>
        <w:szCs w:val="21"/>
      </w:rPr>
    </w:pPr>
    <w:r>
      <w:pict w14:anchorId="21B70238">
        <v:shapetype id="_x0000_t202" coordsize="21600,21600" o:spt="202" path="m,l,21600r21600,l21600,xe">
          <v:stroke joinstyle="miter"/>
          <v:path gradientshapeok="t" o:connecttype="rect"/>
        </v:shapetype>
        <v:shape id="_x0000_s3077"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14:paraId="04DCD831" w14:textId="3AA3B2D4" w:rsidR="00394F1D" w:rsidRDefault="00AC0AFE">
                <w:pPr>
                  <w:tabs>
                    <w:tab w:val="center" w:pos="4153"/>
                    <w:tab w:val="right" w:pos="8306"/>
                  </w:tabs>
                  <w:snapToGrid w:val="0"/>
                  <w:jc w:val="center"/>
                  <w:rPr>
                    <w:szCs w:val="21"/>
                  </w:rPr>
                </w:pPr>
                <w:r>
                  <w:rPr>
                    <w:rFonts w:hint="eastAsia"/>
                    <w:szCs w:val="21"/>
                  </w:rPr>
                  <w:t>第</w:t>
                </w:r>
                <w:r>
                  <w:rPr>
                    <w:szCs w:val="21"/>
                  </w:rPr>
                  <w:fldChar w:fldCharType="begin"/>
                </w:r>
                <w:r>
                  <w:rPr>
                    <w:rFonts w:hint="eastAsia"/>
                    <w:szCs w:val="21"/>
                  </w:rPr>
                  <w:instrText>PAGE   \* MERGEFORMAT</w:instrText>
                </w:r>
                <w:r>
                  <w:rPr>
                    <w:szCs w:val="21"/>
                  </w:rPr>
                  <w:fldChar w:fldCharType="separate"/>
                </w:r>
                <w:r w:rsidR="005C1901">
                  <w:rPr>
                    <w:noProof/>
                    <w:szCs w:val="21"/>
                  </w:rPr>
                  <w:t>2</w:t>
                </w:r>
                <w:r>
                  <w:rPr>
                    <w:szCs w:val="21"/>
                  </w:rPr>
                  <w:fldChar w:fldCharType="end"/>
                </w:r>
                <w:r>
                  <w:rPr>
                    <w:rFonts w:hint="eastAsia"/>
                    <w:szCs w:val="21"/>
                  </w:rPr>
                  <w:t>页共</w:t>
                </w:r>
                <w:r>
                  <w:rPr>
                    <w:rFonts w:hint="eastAsia"/>
                  </w:rPr>
                  <w:t>3</w:t>
                </w:r>
                <w:r>
                  <w:rPr>
                    <w:rFonts w:hint="eastAsia"/>
                    <w:szCs w:val="21"/>
                  </w:rPr>
                  <w:t>页</w:t>
                </w:r>
              </w:p>
            </w:txbxContent>
          </v:textbox>
          <w10:wrap anchorx="margin"/>
        </v:shape>
      </w:pict>
    </w:r>
    <w:r w:rsidR="00AC0AFE">
      <w:rPr>
        <w:rFonts w:hint="eastAsia"/>
        <w:szCs w:val="21"/>
      </w:rPr>
      <w:t xml:space="preserve"> </w:t>
    </w:r>
    <w:r w:rsidR="00AC0AFE">
      <w:rPr>
        <w:szCs w:val="21"/>
      </w:rPr>
      <w:t xml:space="preserve">      </w:t>
    </w:r>
  </w:p>
  <w:p w14:paraId="77AE9B94" w14:textId="77777777" w:rsidR="00394F1D" w:rsidRDefault="005C19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88E14" w14:textId="77777777" w:rsidR="005E1968" w:rsidRDefault="005E1968">
      <w:r>
        <w:separator/>
      </w:r>
    </w:p>
  </w:footnote>
  <w:footnote w:type="continuationSeparator" w:id="0">
    <w:p w14:paraId="535F71D4" w14:textId="77777777" w:rsidR="005E1968" w:rsidRDefault="005E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8BF8" w14:textId="26B01225" w:rsidR="00394F1D" w:rsidRDefault="00AC0AFE" w:rsidP="00922613">
    <w:pPr>
      <w:pStyle w:val="a7"/>
      <w:jc w:val="distribute"/>
    </w:pPr>
    <w:r>
      <w:rPr>
        <w:rFonts w:cs="宋体" w:hint="eastAsia"/>
      </w:rPr>
      <w:t>湖南省疾病预防控制中心伦理委员会章程</w:t>
    </w:r>
    <w:r w:rsidR="00F030E9">
      <w:rPr>
        <w:rFonts w:cs="宋体"/>
      </w:rPr>
      <w:t xml:space="preserve">                                          </w:t>
    </w:r>
    <w:r w:rsidR="005C153F">
      <w:rPr>
        <w:rFonts w:cs="宋体"/>
      </w:rPr>
      <w:t>HNCDC-IRB-0101</w:t>
    </w:r>
    <w:r>
      <w:rPr>
        <w:rFonts w:cs="宋体" w:hint="eastAsia"/>
      </w:rPr>
      <w:t xml:space="preserve"> </w:t>
    </w:r>
    <w:r>
      <w:rPr>
        <w:rFonts w:hint="eastAsia"/>
      </w:rPr>
      <w:t xml:space="preserve">                                              </w:t>
    </w:r>
    <w:r>
      <w:rPr>
        <w:szCs w:val="24"/>
        <w:lang w:val="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388E"/>
    <w:rsid w:val="00016BC6"/>
    <w:rsid w:val="0004721B"/>
    <w:rsid w:val="000B4CC3"/>
    <w:rsid w:val="000E06A8"/>
    <w:rsid w:val="000E5FD9"/>
    <w:rsid w:val="000F1044"/>
    <w:rsid w:val="00101EE4"/>
    <w:rsid w:val="00106386"/>
    <w:rsid w:val="00125785"/>
    <w:rsid w:val="00152379"/>
    <w:rsid w:val="00156310"/>
    <w:rsid w:val="00167216"/>
    <w:rsid w:val="00184343"/>
    <w:rsid w:val="001B12CD"/>
    <w:rsid w:val="001B26A5"/>
    <w:rsid w:val="001B4FC2"/>
    <w:rsid w:val="001D2F88"/>
    <w:rsid w:val="001F56EC"/>
    <w:rsid w:val="00205F68"/>
    <w:rsid w:val="00224045"/>
    <w:rsid w:val="002436FF"/>
    <w:rsid w:val="00247BF6"/>
    <w:rsid w:val="00254C31"/>
    <w:rsid w:val="00264BA9"/>
    <w:rsid w:val="002827A1"/>
    <w:rsid w:val="00287EB0"/>
    <w:rsid w:val="002A3718"/>
    <w:rsid w:val="002B1BF4"/>
    <w:rsid w:val="002B6D3A"/>
    <w:rsid w:val="002D22A2"/>
    <w:rsid w:val="00311BDC"/>
    <w:rsid w:val="00341D9E"/>
    <w:rsid w:val="00393FA1"/>
    <w:rsid w:val="003C512A"/>
    <w:rsid w:val="003D1DF6"/>
    <w:rsid w:val="003D6AA2"/>
    <w:rsid w:val="003E62AA"/>
    <w:rsid w:val="003E6B6A"/>
    <w:rsid w:val="003F0844"/>
    <w:rsid w:val="003F1369"/>
    <w:rsid w:val="0042388E"/>
    <w:rsid w:val="004254DD"/>
    <w:rsid w:val="00427548"/>
    <w:rsid w:val="0044584D"/>
    <w:rsid w:val="0045171C"/>
    <w:rsid w:val="00471F60"/>
    <w:rsid w:val="00474753"/>
    <w:rsid w:val="00482953"/>
    <w:rsid w:val="00482C46"/>
    <w:rsid w:val="004A319C"/>
    <w:rsid w:val="004B269A"/>
    <w:rsid w:val="004D4672"/>
    <w:rsid w:val="004E571E"/>
    <w:rsid w:val="004E59CE"/>
    <w:rsid w:val="004F14A3"/>
    <w:rsid w:val="004F1E15"/>
    <w:rsid w:val="00504805"/>
    <w:rsid w:val="00535D72"/>
    <w:rsid w:val="00537DD2"/>
    <w:rsid w:val="00543AA9"/>
    <w:rsid w:val="00547F20"/>
    <w:rsid w:val="0055784C"/>
    <w:rsid w:val="00585B97"/>
    <w:rsid w:val="00592DF5"/>
    <w:rsid w:val="005C153F"/>
    <w:rsid w:val="005C1901"/>
    <w:rsid w:val="005C34F7"/>
    <w:rsid w:val="005C3BF6"/>
    <w:rsid w:val="005E1968"/>
    <w:rsid w:val="0060428C"/>
    <w:rsid w:val="00665FC9"/>
    <w:rsid w:val="00684EAF"/>
    <w:rsid w:val="006A3194"/>
    <w:rsid w:val="006B2C83"/>
    <w:rsid w:val="006B38E2"/>
    <w:rsid w:val="006D3FCE"/>
    <w:rsid w:val="006F22FC"/>
    <w:rsid w:val="00701B9A"/>
    <w:rsid w:val="00706016"/>
    <w:rsid w:val="007345DD"/>
    <w:rsid w:val="00745008"/>
    <w:rsid w:val="00746B6E"/>
    <w:rsid w:val="00756A84"/>
    <w:rsid w:val="0078320B"/>
    <w:rsid w:val="00793357"/>
    <w:rsid w:val="007A40FF"/>
    <w:rsid w:val="007B5B83"/>
    <w:rsid w:val="007E2549"/>
    <w:rsid w:val="007F5065"/>
    <w:rsid w:val="0080345F"/>
    <w:rsid w:val="00804A97"/>
    <w:rsid w:val="00834009"/>
    <w:rsid w:val="008522BB"/>
    <w:rsid w:val="008632A6"/>
    <w:rsid w:val="00865377"/>
    <w:rsid w:val="00874444"/>
    <w:rsid w:val="008809DB"/>
    <w:rsid w:val="0088242B"/>
    <w:rsid w:val="0089150A"/>
    <w:rsid w:val="008A4A72"/>
    <w:rsid w:val="008C66CB"/>
    <w:rsid w:val="008C7E60"/>
    <w:rsid w:val="008E1E99"/>
    <w:rsid w:val="009246AC"/>
    <w:rsid w:val="00941C01"/>
    <w:rsid w:val="00947A00"/>
    <w:rsid w:val="00961DAB"/>
    <w:rsid w:val="00975F95"/>
    <w:rsid w:val="00976420"/>
    <w:rsid w:val="009D3A4E"/>
    <w:rsid w:val="009E24C0"/>
    <w:rsid w:val="009E4B9E"/>
    <w:rsid w:val="009E5E89"/>
    <w:rsid w:val="00A31889"/>
    <w:rsid w:val="00A42143"/>
    <w:rsid w:val="00A61548"/>
    <w:rsid w:val="00A62F8A"/>
    <w:rsid w:val="00A6700E"/>
    <w:rsid w:val="00A6784A"/>
    <w:rsid w:val="00A72B04"/>
    <w:rsid w:val="00AA0F57"/>
    <w:rsid w:val="00AA3D10"/>
    <w:rsid w:val="00AB1758"/>
    <w:rsid w:val="00AC0AFE"/>
    <w:rsid w:val="00AC315C"/>
    <w:rsid w:val="00AD238F"/>
    <w:rsid w:val="00AD6313"/>
    <w:rsid w:val="00AD6DA7"/>
    <w:rsid w:val="00AD775A"/>
    <w:rsid w:val="00AE5626"/>
    <w:rsid w:val="00B01949"/>
    <w:rsid w:val="00B04894"/>
    <w:rsid w:val="00B20B5C"/>
    <w:rsid w:val="00B2116A"/>
    <w:rsid w:val="00B25008"/>
    <w:rsid w:val="00B46785"/>
    <w:rsid w:val="00B63AEB"/>
    <w:rsid w:val="00B779D5"/>
    <w:rsid w:val="00B86D77"/>
    <w:rsid w:val="00B906BF"/>
    <w:rsid w:val="00B95D1B"/>
    <w:rsid w:val="00BA73C6"/>
    <w:rsid w:val="00BB6B51"/>
    <w:rsid w:val="00BD1B14"/>
    <w:rsid w:val="00C07208"/>
    <w:rsid w:val="00C160D9"/>
    <w:rsid w:val="00C1679C"/>
    <w:rsid w:val="00C329FD"/>
    <w:rsid w:val="00C97FB2"/>
    <w:rsid w:val="00CB48C0"/>
    <w:rsid w:val="00CC1689"/>
    <w:rsid w:val="00CD4BB3"/>
    <w:rsid w:val="00CE54EB"/>
    <w:rsid w:val="00D11E04"/>
    <w:rsid w:val="00D20F91"/>
    <w:rsid w:val="00D32F72"/>
    <w:rsid w:val="00D41E2F"/>
    <w:rsid w:val="00DB6CBD"/>
    <w:rsid w:val="00DD5D44"/>
    <w:rsid w:val="00DD7B09"/>
    <w:rsid w:val="00E25696"/>
    <w:rsid w:val="00E26435"/>
    <w:rsid w:val="00E734FF"/>
    <w:rsid w:val="00E737C5"/>
    <w:rsid w:val="00E76EE7"/>
    <w:rsid w:val="00E93B0E"/>
    <w:rsid w:val="00EA1759"/>
    <w:rsid w:val="00ED0CE3"/>
    <w:rsid w:val="00EE015A"/>
    <w:rsid w:val="00EE088D"/>
    <w:rsid w:val="00EE0EE7"/>
    <w:rsid w:val="00EE0FCD"/>
    <w:rsid w:val="00EF35A5"/>
    <w:rsid w:val="00EF658C"/>
    <w:rsid w:val="00EF69E9"/>
    <w:rsid w:val="00F030E9"/>
    <w:rsid w:val="00F05A72"/>
    <w:rsid w:val="00F0771C"/>
    <w:rsid w:val="00F11418"/>
    <w:rsid w:val="00F13C85"/>
    <w:rsid w:val="00F25E90"/>
    <w:rsid w:val="00F70DA8"/>
    <w:rsid w:val="00F962EB"/>
    <w:rsid w:val="00FB796D"/>
    <w:rsid w:val="00FC1418"/>
    <w:rsid w:val="00FD488F"/>
    <w:rsid w:val="00FF79A1"/>
    <w:rsid w:val="011B68F3"/>
    <w:rsid w:val="082C5219"/>
    <w:rsid w:val="1CA23524"/>
    <w:rsid w:val="1DF4192C"/>
    <w:rsid w:val="35701DF9"/>
    <w:rsid w:val="3C2561B4"/>
    <w:rsid w:val="79A33B34"/>
    <w:rsid w:val="79B07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0"/>
    <o:shapelayout v:ext="edit">
      <o:idmap v:ext="edit" data="2"/>
    </o:shapelayout>
  </w:shapeDefaults>
  <w:decimalSymbol w:val="."/>
  <w:listSeparator w:val=","/>
  <w14:docId w14:val="21458162"/>
  <w15:docId w15:val="{11DDF2B1-1FB4-4BDB-BD51-4412EF9A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611</Words>
  <Characters>3485</Characters>
  <Application>Microsoft Office Word</Application>
  <DocSecurity>0</DocSecurity>
  <Lines>29</Lines>
  <Paragraphs>8</Paragraphs>
  <ScaleCrop>false</ScaleCrop>
  <Company>ZJCDC</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陈彬</dc:creator>
  <cp:lastModifiedBy>Administrator</cp:lastModifiedBy>
  <cp:revision>95</cp:revision>
  <cp:lastPrinted>2020-07-27T03:29:00Z</cp:lastPrinted>
  <dcterms:created xsi:type="dcterms:W3CDTF">2014-06-24T03:22:00Z</dcterms:created>
  <dcterms:modified xsi:type="dcterms:W3CDTF">2022-03-19T17:51:00Z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