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 w:eastAsia="宋体"/>
          <w:szCs w:val="21"/>
        </w:rPr>
        <w:t>承诺函</w:t>
      </w:r>
      <w:r>
        <w:rPr>
          <w:rFonts w:hint="eastAsia" w:ascii="宋体" w:hAnsi="宋体" w:eastAsia="宋体" w:cs="宋体"/>
          <w:szCs w:val="21"/>
        </w:rPr>
        <w:t>第</w:t>
      </w:r>
      <w:r>
        <w:rPr>
          <w:rFonts w:hint="eastAsia" w:ascii="宋体" w:hAnsi="宋体" w:cs="宋体"/>
          <w:szCs w:val="21"/>
        </w:rPr>
        <w:t>九条情形。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>
      <w:pPr>
        <w:pStyle w:val="2"/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E30A2"/>
    <w:rsid w:val="772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2020-07-17T04:05:00Z</dcterms:created>
  <dc:creator>Administrator</dc:creator>
  <cp:lastModifiedBy>Administrator</cp:lastModifiedBy>
  <dcterms:modified xsi:type="dcterms:W3CDTF">2020-07-17T04:06:04Z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